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2232A9" w14:textId="77777777" w:rsidR="00FC756B" w:rsidRPr="009D1C5E" w:rsidRDefault="00FC756B">
      <w:pPr>
        <w:tabs>
          <w:tab w:val="left" w:pos="1800"/>
          <w:tab w:val="left" w:pos="7812"/>
          <w:tab w:val="right" w:pos="9360"/>
          <w:tab w:val="right" w:pos="10080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D1C5E">
        <w:rPr>
          <w:rFonts w:ascii="Times New Roman" w:hAnsi="Times New Roman"/>
          <w:b/>
          <w:smallCaps/>
          <w:sz w:val="28"/>
          <w:szCs w:val="28"/>
        </w:rPr>
        <w:t>Susannah W. Pollvogt</w:t>
      </w:r>
    </w:p>
    <w:p w14:paraId="6A3E4491" w14:textId="713685AB" w:rsidR="00500476" w:rsidRDefault="00591890" w:rsidP="00500476">
      <w:pPr>
        <w:tabs>
          <w:tab w:val="left" w:pos="1800"/>
          <w:tab w:val="left" w:pos="7812"/>
          <w:tab w:val="right" w:pos="9360"/>
          <w:tab w:val="right" w:pos="1008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University </w:t>
      </w:r>
      <w:r w:rsidR="004B1F45">
        <w:rPr>
          <w:rFonts w:ascii="Times New Roman" w:hAnsi="Times New Roman"/>
          <w:szCs w:val="24"/>
        </w:rPr>
        <w:t xml:space="preserve">of Arkansas </w:t>
      </w:r>
      <w:r>
        <w:rPr>
          <w:rFonts w:ascii="Times New Roman" w:hAnsi="Times New Roman"/>
          <w:szCs w:val="24"/>
        </w:rPr>
        <w:t>School</w:t>
      </w:r>
      <w:r w:rsidR="00500476">
        <w:rPr>
          <w:rFonts w:ascii="Times New Roman" w:hAnsi="Times New Roman"/>
          <w:szCs w:val="24"/>
        </w:rPr>
        <w:t xml:space="preserve"> of Law</w:t>
      </w:r>
    </w:p>
    <w:p w14:paraId="71D95301" w14:textId="567C8702" w:rsidR="00500476" w:rsidRPr="00A00274" w:rsidRDefault="004B1F45" w:rsidP="00500476">
      <w:pPr>
        <w:tabs>
          <w:tab w:val="left" w:pos="1800"/>
          <w:tab w:val="left" w:pos="7812"/>
          <w:tab w:val="right" w:pos="9360"/>
          <w:tab w:val="right" w:pos="1008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1045 W. Maple St.</w:t>
      </w:r>
    </w:p>
    <w:p w14:paraId="39522F85" w14:textId="61D98019" w:rsidR="00500476" w:rsidRPr="00A00274" w:rsidRDefault="004B1F45" w:rsidP="00500476">
      <w:pPr>
        <w:tabs>
          <w:tab w:val="left" w:pos="1800"/>
          <w:tab w:val="left" w:pos="7812"/>
          <w:tab w:val="right" w:pos="9360"/>
          <w:tab w:val="right" w:pos="1008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Fayetteville</w:t>
      </w:r>
      <w:r w:rsidR="005011C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AR</w:t>
      </w:r>
      <w:r w:rsidR="005011C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72701</w:t>
      </w:r>
    </w:p>
    <w:p w14:paraId="20F5D95C" w14:textId="7AA372FF" w:rsidR="00500476" w:rsidRPr="00A00274" w:rsidRDefault="00500476" w:rsidP="00500476">
      <w:pPr>
        <w:tabs>
          <w:tab w:val="left" w:pos="1800"/>
          <w:tab w:val="left" w:pos="7812"/>
          <w:tab w:val="right" w:pos="9360"/>
          <w:tab w:val="right" w:pos="10080"/>
        </w:tabs>
        <w:jc w:val="center"/>
        <w:rPr>
          <w:rFonts w:ascii="Times New Roman" w:hAnsi="Times New Roman"/>
          <w:szCs w:val="24"/>
        </w:rPr>
      </w:pPr>
      <w:r>
        <w:rPr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0624F" wp14:editId="2DE839E8">
                <wp:simplePos x="0" y="0"/>
                <wp:positionH relativeFrom="column">
                  <wp:align>center</wp:align>
                </wp:positionH>
                <wp:positionV relativeFrom="paragraph">
                  <wp:posOffset>207010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5B47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3pt" to="46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" strokeweight=".26mm">
                <v:stroke joinstyle="miter"/>
              </v:line>
            </w:pict>
          </mc:Fallback>
        </mc:AlternateContent>
      </w:r>
      <w:r w:rsidRPr="00A00274">
        <w:rPr>
          <w:rFonts w:ascii="Times New Roman" w:hAnsi="Times New Roman"/>
          <w:szCs w:val="24"/>
        </w:rPr>
        <w:t>(</w:t>
      </w:r>
      <w:r w:rsidR="004B1F45">
        <w:rPr>
          <w:rFonts w:ascii="Times New Roman" w:hAnsi="Times New Roman"/>
          <w:szCs w:val="24"/>
        </w:rPr>
        <w:t>479</w:t>
      </w:r>
      <w:r w:rsidRPr="00A00274">
        <w:rPr>
          <w:rFonts w:ascii="Times New Roman" w:hAnsi="Times New Roman"/>
          <w:szCs w:val="24"/>
        </w:rPr>
        <w:t xml:space="preserve">) </w:t>
      </w:r>
      <w:r w:rsidR="004B1F45">
        <w:rPr>
          <w:rFonts w:ascii="Times New Roman" w:hAnsi="Times New Roman"/>
          <w:szCs w:val="24"/>
        </w:rPr>
        <w:t>575</w:t>
      </w:r>
      <w:r w:rsidRPr="00A00274">
        <w:rPr>
          <w:rFonts w:ascii="Times New Roman" w:hAnsi="Times New Roman"/>
          <w:szCs w:val="24"/>
        </w:rPr>
        <w:t>-</w:t>
      </w:r>
      <w:r w:rsidR="004B1F45">
        <w:rPr>
          <w:rFonts w:ascii="Times New Roman" w:hAnsi="Times New Roman"/>
          <w:szCs w:val="24"/>
        </w:rPr>
        <w:t>7051</w:t>
      </w:r>
    </w:p>
    <w:p w14:paraId="7E1C8348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rPr>
          <w:rFonts w:ascii="Times New Roman" w:hAnsi="Times New Roman"/>
          <w:b/>
          <w:szCs w:val="24"/>
        </w:rPr>
      </w:pPr>
    </w:p>
    <w:p w14:paraId="26E5697D" w14:textId="77777777" w:rsidR="00FC756B" w:rsidRPr="00A00274" w:rsidRDefault="00FC756B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rPr>
          <w:sz w:val="24"/>
          <w:szCs w:val="24"/>
        </w:rPr>
      </w:pPr>
      <w:r w:rsidRPr="00A00274">
        <w:rPr>
          <w:sz w:val="24"/>
          <w:szCs w:val="24"/>
        </w:rPr>
        <w:t>EDUCATION</w:t>
      </w:r>
    </w:p>
    <w:p w14:paraId="4A0CA32C" w14:textId="77777777" w:rsidR="00FC756B" w:rsidRPr="00A00274" w:rsidRDefault="00FC756B">
      <w:pPr>
        <w:tabs>
          <w:tab w:val="left" w:pos="1800"/>
          <w:tab w:val="right" w:pos="9360"/>
          <w:tab w:val="right" w:pos="10080"/>
        </w:tabs>
        <w:ind w:left="187"/>
        <w:rPr>
          <w:rFonts w:ascii="Times New Roman" w:hAnsi="Times New Roman"/>
          <w:b/>
          <w:smallCaps/>
          <w:szCs w:val="24"/>
        </w:rPr>
      </w:pPr>
    </w:p>
    <w:p w14:paraId="61DCA2C1" w14:textId="77777777" w:rsidR="00FC756B" w:rsidRPr="00A00274" w:rsidRDefault="00FC756B">
      <w:pPr>
        <w:tabs>
          <w:tab w:val="left" w:pos="1800"/>
          <w:tab w:val="right" w:pos="9360"/>
          <w:tab w:val="right" w:pos="10080"/>
        </w:tabs>
        <w:ind w:left="187"/>
        <w:rPr>
          <w:rFonts w:ascii="Times New Roman" w:hAnsi="Times New Roman"/>
          <w:smallCaps/>
          <w:szCs w:val="24"/>
        </w:rPr>
      </w:pPr>
      <w:r w:rsidRPr="00A00274">
        <w:rPr>
          <w:rFonts w:ascii="Times New Roman" w:hAnsi="Times New Roman"/>
          <w:b/>
          <w:smallCaps/>
          <w:szCs w:val="24"/>
        </w:rPr>
        <w:t>Yale Law School</w:t>
      </w:r>
      <w:r w:rsidRPr="00A00274">
        <w:rPr>
          <w:rFonts w:ascii="Times New Roman" w:hAnsi="Times New Roman"/>
          <w:smallCaps/>
          <w:szCs w:val="24"/>
        </w:rPr>
        <w:t>, New Haven, CT</w:t>
      </w:r>
    </w:p>
    <w:p w14:paraId="685CA2CC" w14:textId="77777777" w:rsidR="00FC756B" w:rsidRPr="00A00274" w:rsidRDefault="00FC756B">
      <w:pPr>
        <w:tabs>
          <w:tab w:val="left" w:pos="1800"/>
          <w:tab w:val="right" w:pos="9360"/>
          <w:tab w:val="right" w:pos="10080"/>
        </w:tabs>
        <w:ind w:left="187"/>
        <w:rPr>
          <w:rFonts w:ascii="Times New Roman" w:hAnsi="Times New Roman"/>
          <w:smallCaps/>
          <w:szCs w:val="24"/>
        </w:rPr>
      </w:pPr>
    </w:p>
    <w:p w14:paraId="44DE6066" w14:textId="77777777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</w:pPr>
      <w:r w:rsidRPr="00A00274">
        <w:t>J.D., 1998</w:t>
      </w:r>
    </w:p>
    <w:p w14:paraId="2224FF4D" w14:textId="77777777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</w:pPr>
      <w:r w:rsidRPr="00A00274">
        <w:t>Coker Fellow, Assistant in Instruction, Constitutional Law</w:t>
      </w:r>
    </w:p>
    <w:p w14:paraId="0062E313" w14:textId="77777777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</w:pPr>
      <w:r w:rsidRPr="00A00274">
        <w:t>Schell Center Fellow, Human Rights Intern</w:t>
      </w:r>
    </w:p>
    <w:p w14:paraId="6CAE08EC" w14:textId="77777777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</w:pPr>
      <w:r w:rsidRPr="00A00274">
        <w:t>Student Director, Yale Immigration Clinic</w:t>
      </w:r>
    </w:p>
    <w:p w14:paraId="6B992857" w14:textId="77777777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  <w:rPr>
          <w:i/>
        </w:rPr>
      </w:pPr>
      <w:r w:rsidRPr="00A00274">
        <w:t xml:space="preserve">Editor, </w:t>
      </w:r>
      <w:r w:rsidRPr="00A00274">
        <w:rPr>
          <w:i/>
        </w:rPr>
        <w:t>Yale Journal of Law &amp; Feminism</w:t>
      </w:r>
    </w:p>
    <w:p w14:paraId="6DAD7B54" w14:textId="3CFE8D89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</w:pPr>
      <w:r w:rsidRPr="00A00274">
        <w:t>Instructor, Yale University College Seminar</w:t>
      </w:r>
      <w:r w:rsidR="00315C00">
        <w:t>:</w:t>
      </w:r>
    </w:p>
    <w:p w14:paraId="33612ABF" w14:textId="77777777" w:rsidR="00FC756B" w:rsidRPr="00A00274" w:rsidRDefault="00FC756B">
      <w:pPr>
        <w:pStyle w:val="CVDescription"/>
        <w:tabs>
          <w:tab w:val="left" w:pos="810"/>
          <w:tab w:val="left" w:pos="7812"/>
          <w:tab w:val="right" w:pos="10080"/>
        </w:tabs>
        <w:spacing w:after="0"/>
        <w:ind w:left="371"/>
        <w:rPr>
          <w:i/>
        </w:rPr>
      </w:pPr>
      <w:r w:rsidRPr="00A00274">
        <w:tab/>
      </w:r>
      <w:r w:rsidRPr="00A00274">
        <w:rPr>
          <w:i/>
        </w:rPr>
        <w:t>The Legal Regulation of Reproductive Healthcare</w:t>
      </w:r>
    </w:p>
    <w:p w14:paraId="31B1A426" w14:textId="77777777" w:rsidR="00FC756B" w:rsidRPr="00A00274" w:rsidRDefault="00FC756B">
      <w:pPr>
        <w:tabs>
          <w:tab w:val="left" w:pos="1800"/>
          <w:tab w:val="right" w:pos="9360"/>
          <w:tab w:val="right" w:pos="10080"/>
        </w:tabs>
        <w:ind w:left="371"/>
        <w:rPr>
          <w:rFonts w:ascii="Times New Roman" w:hAnsi="Times New Roman"/>
          <w:b/>
          <w:smallCaps/>
          <w:szCs w:val="24"/>
        </w:rPr>
      </w:pPr>
    </w:p>
    <w:p w14:paraId="06F31994" w14:textId="77777777" w:rsidR="00FC756B" w:rsidRPr="00A00274" w:rsidRDefault="00FC756B">
      <w:pPr>
        <w:tabs>
          <w:tab w:val="left" w:pos="1800"/>
          <w:tab w:val="right" w:pos="9360"/>
          <w:tab w:val="right" w:pos="10080"/>
        </w:tabs>
        <w:ind w:left="201"/>
        <w:rPr>
          <w:rFonts w:ascii="Times New Roman" w:hAnsi="Times New Roman"/>
          <w:smallCaps/>
          <w:szCs w:val="24"/>
        </w:rPr>
      </w:pPr>
      <w:r w:rsidRPr="00A00274">
        <w:rPr>
          <w:rFonts w:ascii="Times New Roman" w:hAnsi="Times New Roman"/>
          <w:b/>
          <w:smallCaps/>
          <w:szCs w:val="24"/>
        </w:rPr>
        <w:t>Williams College</w:t>
      </w:r>
      <w:r w:rsidRPr="00A00274">
        <w:rPr>
          <w:rFonts w:ascii="Times New Roman" w:hAnsi="Times New Roman"/>
          <w:smallCaps/>
          <w:szCs w:val="24"/>
        </w:rPr>
        <w:t>, Williamstown, MA</w:t>
      </w:r>
    </w:p>
    <w:p w14:paraId="3728F917" w14:textId="77777777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</w:pPr>
    </w:p>
    <w:p w14:paraId="39E8B548" w14:textId="77777777" w:rsidR="00FC756B" w:rsidRPr="00A00274" w:rsidRDefault="00FC756B">
      <w:pPr>
        <w:tabs>
          <w:tab w:val="left" w:pos="990"/>
          <w:tab w:val="left" w:pos="1800"/>
          <w:tab w:val="right" w:pos="9360"/>
          <w:tab w:val="right" w:pos="10080"/>
        </w:tabs>
        <w:ind w:left="371"/>
        <w:rPr>
          <w:szCs w:val="24"/>
        </w:rPr>
      </w:pPr>
      <w:r w:rsidRPr="00A00274">
        <w:rPr>
          <w:szCs w:val="24"/>
        </w:rPr>
        <w:t>B.A., Political Philosophy, 1994</w:t>
      </w:r>
    </w:p>
    <w:p w14:paraId="2F7F6166" w14:textId="77777777" w:rsidR="00FC756B" w:rsidRPr="00A00274" w:rsidRDefault="00FC756B">
      <w:pPr>
        <w:pStyle w:val="CVDescription"/>
        <w:tabs>
          <w:tab w:val="left" w:pos="990"/>
          <w:tab w:val="left" w:pos="1800"/>
          <w:tab w:val="left" w:pos="7812"/>
          <w:tab w:val="right" w:pos="10080"/>
        </w:tabs>
        <w:spacing w:after="0"/>
        <w:ind w:left="371"/>
      </w:pPr>
      <w:r w:rsidRPr="00A00274">
        <w:t xml:space="preserve">Magna cum laude </w:t>
      </w:r>
    </w:p>
    <w:p w14:paraId="44C86284" w14:textId="77777777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</w:pPr>
      <w:r w:rsidRPr="00A00274">
        <w:t>Phi Beta Kappa</w:t>
      </w:r>
    </w:p>
    <w:p w14:paraId="56784156" w14:textId="77777777" w:rsidR="00FC756B" w:rsidRPr="00A00274" w:rsidRDefault="00FC756B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71"/>
      </w:pPr>
      <w:r w:rsidRPr="00A00274">
        <w:t>Highest Honors in Major</w:t>
      </w:r>
    </w:p>
    <w:p w14:paraId="5E6F62D9" w14:textId="77777777" w:rsidR="00FC756B" w:rsidRPr="00A00274" w:rsidRDefault="00FC756B">
      <w:pPr>
        <w:pStyle w:val="CVDescription"/>
        <w:tabs>
          <w:tab w:val="left" w:pos="381"/>
          <w:tab w:val="left" w:pos="7812"/>
          <w:tab w:val="right" w:pos="10080"/>
        </w:tabs>
        <w:spacing w:after="0"/>
        <w:ind w:left="371"/>
      </w:pPr>
      <w:r w:rsidRPr="00A00274">
        <w:tab/>
        <w:t>Teaching Assistant, Introduction to Political Theory</w:t>
      </w:r>
    </w:p>
    <w:p w14:paraId="722FFA2B" w14:textId="77777777" w:rsidR="00FC756B" w:rsidRPr="00A00274" w:rsidRDefault="00FC756B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ind w:left="371"/>
        <w:rPr>
          <w:sz w:val="24"/>
          <w:szCs w:val="24"/>
        </w:rPr>
      </w:pPr>
    </w:p>
    <w:p w14:paraId="359D2D92" w14:textId="77777777" w:rsidR="00FC756B" w:rsidRPr="00A00274" w:rsidRDefault="00FC756B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rPr>
          <w:sz w:val="24"/>
          <w:szCs w:val="24"/>
        </w:rPr>
      </w:pPr>
      <w:r w:rsidRPr="00A00274">
        <w:rPr>
          <w:sz w:val="24"/>
          <w:szCs w:val="24"/>
        </w:rPr>
        <w:t>experience</w:t>
      </w:r>
    </w:p>
    <w:p w14:paraId="69EA0DE2" w14:textId="77777777" w:rsidR="00FC756B" w:rsidRPr="00A00274" w:rsidRDefault="00FC756B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rPr>
          <w:sz w:val="24"/>
          <w:szCs w:val="24"/>
        </w:rPr>
      </w:pPr>
    </w:p>
    <w:p w14:paraId="53237AC1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187"/>
        <w:rPr>
          <w:rFonts w:ascii="Times New Roman" w:hAnsi="Times New Roman"/>
          <w:b/>
          <w:bCs/>
          <w:smallCaps/>
          <w:szCs w:val="24"/>
          <w:u w:val="single"/>
        </w:rPr>
      </w:pPr>
      <w:r w:rsidRPr="00A00274">
        <w:rPr>
          <w:rFonts w:ascii="Times New Roman" w:hAnsi="Times New Roman"/>
          <w:b/>
          <w:bCs/>
          <w:smallCaps/>
          <w:szCs w:val="24"/>
          <w:u w:val="single"/>
        </w:rPr>
        <w:t>Academia</w:t>
      </w:r>
    </w:p>
    <w:p w14:paraId="13292E49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187"/>
        <w:rPr>
          <w:rFonts w:ascii="Times New Roman" w:hAnsi="Times New Roman"/>
          <w:b/>
          <w:bCs/>
          <w:smallCaps/>
          <w:szCs w:val="24"/>
        </w:rPr>
      </w:pPr>
    </w:p>
    <w:p w14:paraId="60546F5A" w14:textId="77777777" w:rsidR="00A637AF" w:rsidRDefault="00A637AF" w:rsidP="00A637AF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Cs/>
          <w:smallCaps/>
          <w:szCs w:val="24"/>
        </w:rPr>
      </w:pPr>
      <w:r>
        <w:rPr>
          <w:rFonts w:ascii="Times New Roman" w:hAnsi="Times New Roman"/>
          <w:b/>
          <w:bCs/>
          <w:smallCaps/>
          <w:szCs w:val="24"/>
        </w:rPr>
        <w:t>University of Arkansas School of Law</w:t>
      </w:r>
      <w:r>
        <w:rPr>
          <w:rFonts w:ascii="Times New Roman" w:hAnsi="Times New Roman"/>
          <w:bCs/>
          <w:smallCaps/>
          <w:szCs w:val="24"/>
        </w:rPr>
        <w:t>, Fayetteville, AR</w:t>
      </w:r>
    </w:p>
    <w:p w14:paraId="2240BAEB" w14:textId="7B627EE1" w:rsidR="00A637AF" w:rsidRPr="004B1F45" w:rsidRDefault="00A637AF" w:rsidP="00A637AF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Cs/>
          <w:smallCaps/>
          <w:szCs w:val="24"/>
        </w:rPr>
      </w:pPr>
      <w:r>
        <w:rPr>
          <w:rFonts w:ascii="Times New Roman" w:hAnsi="Times New Roman"/>
          <w:bCs/>
          <w:i/>
          <w:szCs w:val="24"/>
        </w:rPr>
        <w:t>Associate Dean of Student Success</w:t>
      </w:r>
      <w:r>
        <w:rPr>
          <w:rFonts w:ascii="Times New Roman" w:hAnsi="Times New Roman"/>
          <w:bCs/>
          <w:szCs w:val="24"/>
        </w:rPr>
        <w:t>, 2020</w:t>
      </w:r>
      <w:r w:rsidRPr="00A00274">
        <w:t>–</w:t>
      </w:r>
      <w:r>
        <w:t>present.</w:t>
      </w:r>
      <w:r w:rsidR="007310A2">
        <w:t xml:space="preserve"> </w:t>
      </w:r>
      <w:r w:rsidR="007310A2">
        <w:rPr>
          <w:rFonts w:ascii="Times New Roman" w:hAnsi="Times New Roman"/>
          <w:bCs/>
          <w:i/>
          <w:szCs w:val="24"/>
        </w:rPr>
        <w:t>Courses</w:t>
      </w:r>
      <w:r w:rsidR="007310A2">
        <w:rPr>
          <w:rFonts w:ascii="Times New Roman" w:hAnsi="Times New Roman"/>
          <w:bCs/>
          <w:szCs w:val="24"/>
        </w:rPr>
        <w:t>: Mastering Legal Analysis</w:t>
      </w:r>
      <w:r w:rsidR="007310A2">
        <w:rPr>
          <w:rFonts w:ascii="Times New Roman" w:hAnsi="Times New Roman"/>
          <w:bCs/>
          <w:szCs w:val="24"/>
        </w:rPr>
        <w:t>; Equal Protection</w:t>
      </w:r>
      <w:r w:rsidR="007310A2">
        <w:rPr>
          <w:rFonts w:ascii="Times New Roman" w:hAnsi="Times New Roman"/>
          <w:bCs/>
          <w:szCs w:val="24"/>
        </w:rPr>
        <w:t xml:space="preserve">. </w:t>
      </w:r>
      <w:r w:rsidR="007310A2">
        <w:rPr>
          <w:rFonts w:ascii="Times New Roman" w:hAnsi="Times New Roman"/>
          <w:bCs/>
          <w:i/>
          <w:szCs w:val="24"/>
        </w:rPr>
        <w:t>Service</w:t>
      </w:r>
      <w:r w:rsidR="007310A2">
        <w:rPr>
          <w:rFonts w:ascii="Times New Roman" w:hAnsi="Times New Roman"/>
          <w:bCs/>
          <w:szCs w:val="24"/>
        </w:rPr>
        <w:t xml:space="preserve">: </w:t>
      </w:r>
      <w:r w:rsidR="007310A2">
        <w:rPr>
          <w:rFonts w:ascii="Times New Roman" w:hAnsi="Times New Roman"/>
          <w:bCs/>
          <w:szCs w:val="24"/>
        </w:rPr>
        <w:t>Diversity, Equity, and Inclusion Committee; Orientation</w:t>
      </w:r>
      <w:r w:rsidR="007310A2">
        <w:rPr>
          <w:rFonts w:ascii="Times New Roman" w:hAnsi="Times New Roman"/>
          <w:bCs/>
          <w:szCs w:val="24"/>
        </w:rPr>
        <w:t xml:space="preserve"> Committee</w:t>
      </w:r>
      <w:r w:rsidR="007310A2">
        <w:rPr>
          <w:rFonts w:ascii="Times New Roman" w:hAnsi="Times New Roman"/>
          <w:bCs/>
          <w:szCs w:val="24"/>
        </w:rPr>
        <w:t>; Strategic Planning Committee</w:t>
      </w:r>
      <w:r w:rsidR="007310A2">
        <w:rPr>
          <w:rFonts w:ascii="Times New Roman" w:hAnsi="Times New Roman"/>
          <w:bCs/>
          <w:szCs w:val="24"/>
        </w:rPr>
        <w:t>.</w:t>
      </w:r>
    </w:p>
    <w:p w14:paraId="284FA071" w14:textId="77777777" w:rsidR="00A637AF" w:rsidRDefault="00A637AF" w:rsidP="00A637AF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/>
          <w:bCs/>
          <w:smallCaps/>
          <w:szCs w:val="24"/>
        </w:rPr>
      </w:pPr>
    </w:p>
    <w:p w14:paraId="2A74D66D" w14:textId="6D0175C0" w:rsidR="004B1F45" w:rsidRDefault="004B1F45" w:rsidP="00EE432E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Cs/>
          <w:smallCaps/>
          <w:szCs w:val="24"/>
        </w:rPr>
      </w:pPr>
      <w:r>
        <w:rPr>
          <w:rFonts w:ascii="Times New Roman" w:hAnsi="Times New Roman"/>
          <w:b/>
          <w:bCs/>
          <w:smallCaps/>
          <w:szCs w:val="24"/>
        </w:rPr>
        <w:t>University of Arkansas School of Law</w:t>
      </w:r>
      <w:r>
        <w:rPr>
          <w:rFonts w:ascii="Times New Roman" w:hAnsi="Times New Roman"/>
          <w:bCs/>
          <w:smallCaps/>
          <w:szCs w:val="24"/>
        </w:rPr>
        <w:t>, Fayetteville, AR</w:t>
      </w:r>
    </w:p>
    <w:p w14:paraId="6C0F4201" w14:textId="084DB1DF" w:rsidR="004B1F45" w:rsidRPr="004B1F45" w:rsidRDefault="004B1F45" w:rsidP="007310A2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Cs/>
          <w:smallCaps/>
          <w:szCs w:val="24"/>
        </w:rPr>
      </w:pPr>
      <w:r>
        <w:rPr>
          <w:rFonts w:ascii="Times New Roman" w:hAnsi="Times New Roman"/>
          <w:bCs/>
          <w:i/>
          <w:szCs w:val="24"/>
        </w:rPr>
        <w:t>Visiting Associate Professor; Director of Academic Excellence and Bar Skills</w:t>
      </w:r>
      <w:r>
        <w:rPr>
          <w:rFonts w:ascii="Times New Roman" w:hAnsi="Times New Roman"/>
          <w:bCs/>
          <w:szCs w:val="24"/>
        </w:rPr>
        <w:t>, 2016</w:t>
      </w:r>
      <w:r w:rsidRPr="00A00274">
        <w:t>–</w:t>
      </w:r>
      <w:r w:rsidR="00A637AF">
        <w:t>2020</w:t>
      </w:r>
      <w:r>
        <w:t>.</w:t>
      </w:r>
      <w:r w:rsidR="007310A2">
        <w:t xml:space="preserve"> </w:t>
      </w:r>
      <w:r w:rsidR="007310A2">
        <w:rPr>
          <w:rFonts w:ascii="Times New Roman" w:hAnsi="Times New Roman"/>
          <w:bCs/>
          <w:i/>
          <w:szCs w:val="24"/>
        </w:rPr>
        <w:t>Courses</w:t>
      </w:r>
      <w:r w:rsidR="007310A2">
        <w:rPr>
          <w:rFonts w:ascii="Times New Roman" w:hAnsi="Times New Roman"/>
          <w:bCs/>
          <w:szCs w:val="24"/>
        </w:rPr>
        <w:t xml:space="preserve">: Mastering Legal Analysis; Equal Protection. </w:t>
      </w:r>
      <w:r w:rsidR="007310A2">
        <w:rPr>
          <w:rFonts w:ascii="Times New Roman" w:hAnsi="Times New Roman"/>
          <w:bCs/>
          <w:i/>
          <w:szCs w:val="24"/>
        </w:rPr>
        <w:t>Service</w:t>
      </w:r>
      <w:r w:rsidR="007310A2">
        <w:rPr>
          <w:rFonts w:ascii="Times New Roman" w:hAnsi="Times New Roman"/>
          <w:bCs/>
          <w:szCs w:val="24"/>
        </w:rPr>
        <w:t>: Diversity, Equity, and Inclusion Committee; Orientation Committee; Strategic Planning Committee.</w:t>
      </w:r>
    </w:p>
    <w:p w14:paraId="0AAF5A0E" w14:textId="77777777" w:rsidR="004B1F45" w:rsidRDefault="004B1F45" w:rsidP="00EE432E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/>
          <w:bCs/>
          <w:smallCaps/>
          <w:szCs w:val="24"/>
        </w:rPr>
      </w:pPr>
    </w:p>
    <w:p w14:paraId="033F02F5" w14:textId="1401232E" w:rsidR="00697815" w:rsidRDefault="00697815" w:rsidP="00EE432E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Cs/>
          <w:smallCaps/>
          <w:szCs w:val="24"/>
        </w:rPr>
      </w:pPr>
      <w:r>
        <w:rPr>
          <w:rFonts w:ascii="Times New Roman" w:hAnsi="Times New Roman"/>
          <w:b/>
          <w:bCs/>
          <w:smallCaps/>
          <w:szCs w:val="24"/>
        </w:rPr>
        <w:t>Washburn</w:t>
      </w:r>
      <w:r w:rsidR="008D2C71">
        <w:rPr>
          <w:rFonts w:ascii="Times New Roman" w:hAnsi="Times New Roman"/>
          <w:b/>
          <w:bCs/>
          <w:smallCaps/>
          <w:szCs w:val="24"/>
        </w:rPr>
        <w:t xml:space="preserve"> Universi</w:t>
      </w:r>
      <w:r w:rsidR="00A60F15">
        <w:rPr>
          <w:rFonts w:ascii="Times New Roman" w:hAnsi="Times New Roman"/>
          <w:b/>
          <w:bCs/>
          <w:smallCaps/>
          <w:szCs w:val="24"/>
        </w:rPr>
        <w:t>ty</w:t>
      </w:r>
      <w:r>
        <w:rPr>
          <w:rFonts w:ascii="Times New Roman" w:hAnsi="Times New Roman"/>
          <w:b/>
          <w:bCs/>
          <w:smallCaps/>
          <w:szCs w:val="24"/>
        </w:rPr>
        <w:t xml:space="preserve"> School of Law</w:t>
      </w:r>
      <w:r>
        <w:rPr>
          <w:rFonts w:ascii="Times New Roman" w:hAnsi="Times New Roman"/>
          <w:bCs/>
          <w:smallCaps/>
          <w:szCs w:val="24"/>
        </w:rPr>
        <w:t>, Topeka, KS</w:t>
      </w:r>
    </w:p>
    <w:p w14:paraId="2958311A" w14:textId="7B741D13" w:rsidR="00697815" w:rsidRPr="00D2119D" w:rsidRDefault="00697815" w:rsidP="00EE432E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i/>
          <w:szCs w:val="24"/>
        </w:rPr>
        <w:t>Associate Professor</w:t>
      </w:r>
      <w:r w:rsidR="005011CC">
        <w:rPr>
          <w:rFonts w:ascii="Times New Roman" w:hAnsi="Times New Roman"/>
          <w:bCs/>
          <w:i/>
          <w:szCs w:val="24"/>
        </w:rPr>
        <w:t>; Director of Academic Skills and Bar Passage</w:t>
      </w:r>
      <w:r w:rsidR="005011CC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2014</w:t>
      </w:r>
      <w:r w:rsidR="007449EE" w:rsidRPr="00A00274">
        <w:t>–</w:t>
      </w:r>
      <w:r w:rsidR="005011CC">
        <w:rPr>
          <w:rFonts w:ascii="Times New Roman" w:hAnsi="Times New Roman"/>
          <w:bCs/>
          <w:szCs w:val="24"/>
        </w:rPr>
        <w:t>present</w:t>
      </w:r>
      <w:r>
        <w:rPr>
          <w:rFonts w:ascii="Times New Roman" w:hAnsi="Times New Roman"/>
          <w:bCs/>
          <w:szCs w:val="24"/>
        </w:rPr>
        <w:t>.</w:t>
      </w:r>
      <w:r w:rsidR="003665E9">
        <w:rPr>
          <w:rFonts w:ascii="Times New Roman" w:hAnsi="Times New Roman"/>
          <w:bCs/>
          <w:szCs w:val="24"/>
        </w:rPr>
        <w:t xml:space="preserve"> </w:t>
      </w:r>
      <w:r w:rsidR="005011CC">
        <w:rPr>
          <w:rFonts w:ascii="Times New Roman" w:hAnsi="Times New Roman"/>
          <w:bCs/>
          <w:i/>
          <w:szCs w:val="24"/>
        </w:rPr>
        <w:t>Courses</w:t>
      </w:r>
      <w:r w:rsidR="005011CC">
        <w:rPr>
          <w:rFonts w:ascii="Times New Roman" w:hAnsi="Times New Roman"/>
          <w:bCs/>
          <w:szCs w:val="24"/>
        </w:rPr>
        <w:t xml:space="preserve">: </w:t>
      </w:r>
      <w:r w:rsidR="00D2119D">
        <w:rPr>
          <w:rFonts w:ascii="Times New Roman" w:hAnsi="Times New Roman"/>
          <w:bCs/>
          <w:szCs w:val="24"/>
        </w:rPr>
        <w:t>Constitutional Law I; Legal Analysis in Context; Mastering Legal Analysis.</w:t>
      </w:r>
      <w:r w:rsidR="003665E9">
        <w:rPr>
          <w:rFonts w:ascii="Times New Roman" w:hAnsi="Times New Roman"/>
          <w:bCs/>
          <w:szCs w:val="24"/>
        </w:rPr>
        <w:t xml:space="preserve"> </w:t>
      </w:r>
      <w:r w:rsidR="00D2119D">
        <w:rPr>
          <w:rFonts w:ascii="Times New Roman" w:hAnsi="Times New Roman"/>
          <w:bCs/>
          <w:i/>
          <w:szCs w:val="24"/>
        </w:rPr>
        <w:t>Service</w:t>
      </w:r>
      <w:r w:rsidR="00D2119D">
        <w:rPr>
          <w:rFonts w:ascii="Times New Roman" w:hAnsi="Times New Roman"/>
          <w:bCs/>
          <w:szCs w:val="24"/>
        </w:rPr>
        <w:t>: Faculty Recruitment Committee; Assessment Committee.</w:t>
      </w:r>
    </w:p>
    <w:p w14:paraId="236115A5" w14:textId="77777777" w:rsidR="00697815" w:rsidRDefault="00697815" w:rsidP="00EE432E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/>
          <w:bCs/>
          <w:smallCaps/>
          <w:szCs w:val="24"/>
        </w:rPr>
      </w:pPr>
    </w:p>
    <w:p w14:paraId="2BD50D44" w14:textId="77777777" w:rsidR="001E68CE" w:rsidRDefault="001E68CE">
      <w:pPr>
        <w:widowControl/>
        <w:suppressAutoHyphens w:val="0"/>
        <w:rPr>
          <w:rFonts w:ascii="Times New Roman" w:hAnsi="Times New Roman"/>
          <w:b/>
          <w:bCs/>
          <w:smallCaps/>
          <w:szCs w:val="24"/>
        </w:rPr>
      </w:pPr>
      <w:r>
        <w:rPr>
          <w:rFonts w:ascii="Times New Roman" w:hAnsi="Times New Roman"/>
          <w:b/>
          <w:bCs/>
          <w:smallCaps/>
          <w:szCs w:val="24"/>
        </w:rPr>
        <w:br w:type="page"/>
      </w:r>
    </w:p>
    <w:p w14:paraId="2DE156C6" w14:textId="6C7050B4" w:rsidR="00EE432E" w:rsidRPr="00A00274" w:rsidRDefault="00EE432E" w:rsidP="00EE432E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smallCaps/>
          <w:szCs w:val="24"/>
        </w:rPr>
      </w:pPr>
      <w:r w:rsidRPr="00A00274">
        <w:rPr>
          <w:rFonts w:ascii="Times New Roman" w:hAnsi="Times New Roman"/>
          <w:b/>
          <w:bCs/>
          <w:smallCaps/>
          <w:szCs w:val="24"/>
        </w:rPr>
        <w:lastRenderedPageBreak/>
        <w:t>University of Denver Sturm College of Law</w:t>
      </w:r>
      <w:r w:rsidRPr="00A00274">
        <w:rPr>
          <w:rFonts w:ascii="Times New Roman" w:hAnsi="Times New Roman"/>
          <w:smallCaps/>
          <w:szCs w:val="24"/>
        </w:rPr>
        <w:t>, Denver, CO</w:t>
      </w:r>
    </w:p>
    <w:p w14:paraId="4AE03404" w14:textId="129CCE94" w:rsidR="00EE432E" w:rsidRPr="00A00274" w:rsidRDefault="00D97006" w:rsidP="00F265B3">
      <w:pPr>
        <w:pStyle w:val="CVDescription"/>
        <w:tabs>
          <w:tab w:val="left" w:pos="1800"/>
          <w:tab w:val="right" w:pos="10080"/>
          <w:tab w:val="left" w:pos="11520"/>
        </w:tabs>
        <w:spacing w:after="0"/>
        <w:ind w:left="360"/>
      </w:pPr>
      <w:r>
        <w:rPr>
          <w:i/>
        </w:rPr>
        <w:t>Visiting Lecturer</w:t>
      </w:r>
      <w:r w:rsidR="00315C00">
        <w:t>, 2012</w:t>
      </w:r>
      <w:r w:rsidR="007449EE" w:rsidRPr="00A00274">
        <w:t>–</w:t>
      </w:r>
      <w:r w:rsidR="00697815">
        <w:t>14</w:t>
      </w:r>
      <w:r>
        <w:rPr>
          <w:i/>
        </w:rPr>
        <w:t xml:space="preserve">; </w:t>
      </w:r>
      <w:r w:rsidR="00FB3FC6">
        <w:rPr>
          <w:i/>
        </w:rPr>
        <w:t>Lecturer</w:t>
      </w:r>
      <w:r w:rsidR="00697815">
        <w:t>,</w:t>
      </w:r>
      <w:r w:rsidR="004133C9" w:rsidRPr="00A00274">
        <w:t xml:space="preserve"> 2007–</w:t>
      </w:r>
      <w:r w:rsidR="00EE432E" w:rsidRPr="00A00274">
        <w:t>11.</w:t>
      </w:r>
      <w:r w:rsidR="003665E9">
        <w:t xml:space="preserve"> </w:t>
      </w:r>
      <w:r w:rsidR="00EE432E" w:rsidRPr="00A00274">
        <w:rPr>
          <w:i/>
        </w:rPr>
        <w:t>Courses</w:t>
      </w:r>
      <w:r w:rsidR="00EE432E" w:rsidRPr="00A00274">
        <w:t>:</w:t>
      </w:r>
      <w:r w:rsidR="005B10A6">
        <w:t xml:space="preserve"> Equal Protection; </w:t>
      </w:r>
      <w:r w:rsidR="00BD7137" w:rsidRPr="00A00274">
        <w:t xml:space="preserve">Judicial Clerkship Seminar; </w:t>
      </w:r>
      <w:r w:rsidR="00F265B3">
        <w:t>Legal Analysis Strategies;</w:t>
      </w:r>
      <w:r w:rsidR="00F265B3" w:rsidRPr="00A00274">
        <w:rPr>
          <w:i/>
        </w:rPr>
        <w:t xml:space="preserve"> </w:t>
      </w:r>
      <w:r w:rsidR="00EE432E" w:rsidRPr="00A00274">
        <w:t>Lawyering Process.</w:t>
      </w:r>
      <w:r w:rsidR="003665E9">
        <w:t xml:space="preserve"> </w:t>
      </w:r>
      <w:r w:rsidR="00EE432E" w:rsidRPr="00A00274">
        <w:rPr>
          <w:i/>
        </w:rPr>
        <w:t>Service</w:t>
      </w:r>
      <w:r w:rsidR="00D2119D">
        <w:t>: Appointments Committee; Assessment Committee; Bar Passage Committee;</w:t>
      </w:r>
      <w:r w:rsidR="00EE432E" w:rsidRPr="00A00274">
        <w:t xml:space="preserve"> Judicial Clerkship Committee.</w:t>
      </w:r>
    </w:p>
    <w:p w14:paraId="16384D1B" w14:textId="77777777" w:rsidR="00EE432E" w:rsidRPr="00A00274" w:rsidRDefault="00EE432E" w:rsidP="00EE432E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/>
          <w:bCs/>
          <w:smallCaps/>
          <w:szCs w:val="24"/>
          <w:u w:val="single"/>
        </w:rPr>
      </w:pPr>
    </w:p>
    <w:p w14:paraId="08F2BB83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smallCaps/>
          <w:szCs w:val="24"/>
        </w:rPr>
      </w:pPr>
      <w:r w:rsidRPr="00A00274">
        <w:rPr>
          <w:rFonts w:ascii="Times New Roman" w:hAnsi="Times New Roman"/>
          <w:b/>
          <w:bCs/>
          <w:smallCaps/>
          <w:szCs w:val="24"/>
        </w:rPr>
        <w:t>University of California, Irvine, School of Law</w:t>
      </w:r>
      <w:r w:rsidRPr="00A00274">
        <w:rPr>
          <w:rFonts w:ascii="Times New Roman" w:hAnsi="Times New Roman"/>
          <w:smallCaps/>
          <w:szCs w:val="24"/>
        </w:rPr>
        <w:t>, Irvine, CA</w:t>
      </w:r>
    </w:p>
    <w:p w14:paraId="47618709" w14:textId="7A3287F5" w:rsidR="005011CC" w:rsidRDefault="003665E9" w:rsidP="004B1F45">
      <w:pPr>
        <w:pStyle w:val="CVDescription"/>
        <w:tabs>
          <w:tab w:val="left" w:pos="1800"/>
          <w:tab w:val="right" w:pos="10080"/>
          <w:tab w:val="left" w:pos="11250"/>
        </w:tabs>
        <w:spacing w:after="0"/>
        <w:ind w:left="360"/>
      </w:pPr>
      <w:r>
        <w:rPr>
          <w:i/>
        </w:rPr>
        <w:t xml:space="preserve">Lecturer; </w:t>
      </w:r>
      <w:r w:rsidR="00FC756B" w:rsidRPr="00A00274">
        <w:rPr>
          <w:i/>
        </w:rPr>
        <w:t xml:space="preserve">Director of </w:t>
      </w:r>
      <w:r>
        <w:rPr>
          <w:i/>
        </w:rPr>
        <w:t>Academic Skills Program</w:t>
      </w:r>
      <w:r w:rsidR="007449EE">
        <w:t>,</w:t>
      </w:r>
      <w:r>
        <w:t xml:space="preserve"> </w:t>
      </w:r>
      <w:r w:rsidR="004133C9" w:rsidRPr="00A00274">
        <w:t>2011–</w:t>
      </w:r>
      <w:r w:rsidR="00FC756B" w:rsidRPr="00A00274">
        <w:t>12.</w:t>
      </w:r>
      <w:r>
        <w:t xml:space="preserve"> </w:t>
      </w:r>
      <w:r w:rsidR="00FC756B" w:rsidRPr="00A00274">
        <w:rPr>
          <w:i/>
        </w:rPr>
        <w:t>Courses</w:t>
      </w:r>
      <w:r w:rsidR="00D61820">
        <w:t>: Equal Protection</w:t>
      </w:r>
      <w:r w:rsidR="00FC756B" w:rsidRPr="00A00274">
        <w:t>.</w:t>
      </w:r>
      <w:r>
        <w:t xml:space="preserve"> </w:t>
      </w:r>
      <w:r w:rsidR="00FC756B" w:rsidRPr="00A00274">
        <w:rPr>
          <w:i/>
        </w:rPr>
        <w:t>Service</w:t>
      </w:r>
      <w:r w:rsidR="004B1F45">
        <w:t>: Curriculum Committee.</w:t>
      </w:r>
    </w:p>
    <w:p w14:paraId="7F96B684" w14:textId="77777777" w:rsidR="00A637AF" w:rsidRPr="004B1F45" w:rsidRDefault="00A637AF" w:rsidP="004B1F45">
      <w:pPr>
        <w:pStyle w:val="CVDescription"/>
        <w:tabs>
          <w:tab w:val="left" w:pos="1800"/>
          <w:tab w:val="right" w:pos="10080"/>
          <w:tab w:val="left" w:pos="11250"/>
        </w:tabs>
        <w:spacing w:after="0"/>
        <w:ind w:left="360"/>
      </w:pPr>
    </w:p>
    <w:p w14:paraId="39464E3D" w14:textId="5D8B62FE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187"/>
        <w:rPr>
          <w:rFonts w:ascii="Times New Roman" w:hAnsi="Times New Roman"/>
          <w:b/>
          <w:bCs/>
          <w:smallCaps/>
          <w:szCs w:val="24"/>
          <w:u w:val="single"/>
        </w:rPr>
      </w:pPr>
      <w:r w:rsidRPr="00A00274">
        <w:rPr>
          <w:rFonts w:ascii="Times New Roman" w:hAnsi="Times New Roman"/>
          <w:b/>
          <w:bCs/>
          <w:smallCaps/>
          <w:szCs w:val="24"/>
          <w:u w:val="single"/>
        </w:rPr>
        <w:t>Judiciary</w:t>
      </w:r>
    </w:p>
    <w:p w14:paraId="5934496F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187"/>
        <w:rPr>
          <w:rFonts w:ascii="Times New Roman" w:hAnsi="Times New Roman"/>
          <w:b/>
          <w:bCs/>
          <w:smallCaps/>
          <w:szCs w:val="24"/>
        </w:rPr>
      </w:pPr>
    </w:p>
    <w:p w14:paraId="45F2135F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szCs w:val="24"/>
        </w:rPr>
      </w:pPr>
      <w:r w:rsidRPr="00A00274">
        <w:rPr>
          <w:rFonts w:ascii="Times New Roman" w:hAnsi="Times New Roman"/>
          <w:b/>
          <w:bCs/>
          <w:smallCaps/>
          <w:szCs w:val="24"/>
        </w:rPr>
        <w:t>Vermont Supreme Court</w:t>
      </w:r>
      <w:r w:rsidRPr="00A00274">
        <w:rPr>
          <w:rFonts w:ascii="Times New Roman" w:hAnsi="Times New Roman"/>
          <w:smallCaps/>
          <w:szCs w:val="24"/>
        </w:rPr>
        <w:t>, Montpelier, VT</w:t>
      </w:r>
      <w:r w:rsidRPr="00A00274">
        <w:rPr>
          <w:rFonts w:ascii="Times New Roman" w:hAnsi="Times New Roman"/>
          <w:szCs w:val="24"/>
        </w:rPr>
        <w:tab/>
      </w:r>
    </w:p>
    <w:p w14:paraId="48DFFC48" w14:textId="00B73BA5" w:rsidR="00FC756B" w:rsidRPr="00A00274" w:rsidRDefault="00FC756B" w:rsidP="00FD36BC">
      <w:pPr>
        <w:pStyle w:val="CVDescription"/>
        <w:tabs>
          <w:tab w:val="right" w:pos="10080"/>
        </w:tabs>
        <w:spacing w:after="0"/>
        <w:ind w:left="360"/>
      </w:pPr>
      <w:r w:rsidRPr="00A00274">
        <w:rPr>
          <w:i/>
          <w:iCs/>
        </w:rPr>
        <w:t>Staff Attorney</w:t>
      </w:r>
      <w:r w:rsidRPr="00A00274">
        <w:rPr>
          <w:iCs/>
        </w:rPr>
        <w:t>.</w:t>
      </w:r>
      <w:r w:rsidR="003665E9">
        <w:rPr>
          <w:iCs/>
        </w:rPr>
        <w:t xml:space="preserve"> </w:t>
      </w:r>
      <w:r w:rsidR="004133C9" w:rsidRPr="00A00274">
        <w:t>2005–</w:t>
      </w:r>
      <w:r w:rsidRPr="00A00274">
        <w:t>07.</w:t>
      </w:r>
      <w:r w:rsidR="003665E9">
        <w:t xml:space="preserve"> </w:t>
      </w:r>
      <w:r w:rsidRPr="00A00274">
        <w:t xml:space="preserve">Drafted appellate opinions on </w:t>
      </w:r>
      <w:r w:rsidR="00D85EAB" w:rsidRPr="00A00274">
        <w:t>diverse matters in civil and criminal law</w:t>
      </w:r>
      <w:r w:rsidRPr="00A00274">
        <w:t>; reviewed appellate</w:t>
      </w:r>
      <w:r w:rsidR="00D85EAB" w:rsidRPr="00A00274">
        <w:t xml:space="preserve"> briefs and </w:t>
      </w:r>
      <w:r w:rsidRPr="00A00274">
        <w:t>records; conducted independent research; observed oral arguments; conferred with Justices of the Court; trained incoming law clerks.</w:t>
      </w:r>
    </w:p>
    <w:p w14:paraId="53DE32B1" w14:textId="77777777" w:rsidR="00FC756B" w:rsidRPr="00A00274" w:rsidRDefault="00FC756B">
      <w:pPr>
        <w:keepNext/>
        <w:keepLines/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/>
          <w:smallCaps/>
          <w:szCs w:val="24"/>
        </w:rPr>
      </w:pPr>
    </w:p>
    <w:p w14:paraId="0E4B96A8" w14:textId="77777777" w:rsidR="00FC756B" w:rsidRPr="00A00274" w:rsidRDefault="00FC756B">
      <w:pPr>
        <w:keepNext/>
        <w:keepLines/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smallCaps/>
          <w:szCs w:val="24"/>
        </w:rPr>
      </w:pPr>
      <w:r w:rsidRPr="00A00274">
        <w:rPr>
          <w:rFonts w:ascii="Times New Roman" w:hAnsi="Times New Roman"/>
          <w:b/>
          <w:smallCaps/>
          <w:szCs w:val="24"/>
        </w:rPr>
        <w:t>United States Court of Appeals for the Tenth Circuit</w:t>
      </w:r>
      <w:r w:rsidRPr="00A00274">
        <w:rPr>
          <w:rFonts w:ascii="Times New Roman" w:hAnsi="Times New Roman"/>
          <w:smallCaps/>
          <w:szCs w:val="24"/>
        </w:rPr>
        <w:t>, Denver, CO</w:t>
      </w:r>
    </w:p>
    <w:p w14:paraId="08EBAAE2" w14:textId="78D52DF7" w:rsidR="00FC756B" w:rsidRPr="00A00274" w:rsidRDefault="00FC756B" w:rsidP="00FD36BC">
      <w:pPr>
        <w:pStyle w:val="CVDescription"/>
        <w:keepNext/>
        <w:keepLines/>
        <w:tabs>
          <w:tab w:val="right" w:pos="10080"/>
          <w:tab w:val="left" w:pos="12240"/>
        </w:tabs>
        <w:spacing w:after="0"/>
        <w:ind w:left="360"/>
      </w:pPr>
      <w:r w:rsidRPr="00A00274">
        <w:rPr>
          <w:i/>
          <w:iCs/>
        </w:rPr>
        <w:t>Staff Attorney</w:t>
      </w:r>
      <w:r w:rsidR="004133C9" w:rsidRPr="00A00274">
        <w:t>.</w:t>
      </w:r>
      <w:r w:rsidR="003665E9">
        <w:t xml:space="preserve"> </w:t>
      </w:r>
      <w:r w:rsidR="004133C9" w:rsidRPr="00A00274">
        <w:t>2001–</w:t>
      </w:r>
      <w:r w:rsidRPr="00A00274">
        <w:t>03.</w:t>
      </w:r>
      <w:r w:rsidR="003665E9">
        <w:t xml:space="preserve"> </w:t>
      </w:r>
      <w:r w:rsidRPr="00A00274">
        <w:t xml:space="preserve">Drafted appellate opinions on </w:t>
      </w:r>
      <w:r w:rsidR="00644AA5" w:rsidRPr="00A00274">
        <w:t>diverse matters in civil and criminal law</w:t>
      </w:r>
      <w:r w:rsidRPr="00A00274">
        <w:t>; reviewed appellate briefs and records; conducted independent research; observed oral arguments; conferred with Circuit Judges.</w:t>
      </w:r>
    </w:p>
    <w:p w14:paraId="5407602A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b/>
          <w:smallCaps/>
          <w:szCs w:val="24"/>
        </w:rPr>
      </w:pPr>
    </w:p>
    <w:p w14:paraId="3A0110B6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smallCaps/>
          <w:szCs w:val="24"/>
        </w:rPr>
      </w:pPr>
      <w:r w:rsidRPr="00A00274">
        <w:rPr>
          <w:rFonts w:ascii="Times New Roman" w:hAnsi="Times New Roman"/>
          <w:b/>
          <w:smallCaps/>
          <w:szCs w:val="24"/>
        </w:rPr>
        <w:t>The Honorable Denise R. Johnson, Vermont Supreme Court</w:t>
      </w:r>
      <w:r w:rsidRPr="00A00274">
        <w:rPr>
          <w:rFonts w:ascii="Times New Roman" w:hAnsi="Times New Roman"/>
          <w:smallCaps/>
          <w:szCs w:val="24"/>
        </w:rPr>
        <w:t>, Montpelier, VT</w:t>
      </w:r>
    </w:p>
    <w:p w14:paraId="30AE1F8F" w14:textId="54F4569A" w:rsidR="00FC756B" w:rsidRPr="00A00274" w:rsidRDefault="00FC756B" w:rsidP="00FD36BC">
      <w:pPr>
        <w:pStyle w:val="CVDescription"/>
        <w:tabs>
          <w:tab w:val="left" w:pos="-3240"/>
          <w:tab w:val="right" w:pos="10080"/>
        </w:tabs>
        <w:spacing w:after="0"/>
        <w:ind w:left="360"/>
      </w:pPr>
      <w:r w:rsidRPr="00A00274">
        <w:rPr>
          <w:i/>
          <w:iCs/>
        </w:rPr>
        <w:t>Law Clerk</w:t>
      </w:r>
      <w:r w:rsidRPr="00A00274">
        <w:rPr>
          <w:iCs/>
        </w:rPr>
        <w:t>.</w:t>
      </w:r>
      <w:r w:rsidR="003665E9">
        <w:rPr>
          <w:iCs/>
        </w:rPr>
        <w:t xml:space="preserve"> </w:t>
      </w:r>
      <w:r w:rsidR="004133C9" w:rsidRPr="00A00274">
        <w:t>1998–</w:t>
      </w:r>
      <w:r w:rsidRPr="00A00274">
        <w:t>99.</w:t>
      </w:r>
      <w:r w:rsidR="003665E9">
        <w:t xml:space="preserve"> </w:t>
      </w:r>
      <w:r w:rsidRPr="00A00274">
        <w:t xml:space="preserve">Drafted appellate opinions on </w:t>
      </w:r>
      <w:r w:rsidR="00644AA5" w:rsidRPr="00A00274">
        <w:t>diverse matters in civil and criminal law</w:t>
      </w:r>
      <w:r w:rsidRPr="00A00274">
        <w:t>; reviewed appellate briefs and record</w:t>
      </w:r>
      <w:r w:rsidR="00A37E0D" w:rsidRPr="00A00274">
        <w:t>s</w:t>
      </w:r>
      <w:r w:rsidRPr="00A00274">
        <w:t xml:space="preserve">; conducted independent research; observed oral arguments; conferred with Justice Johnson. </w:t>
      </w:r>
    </w:p>
    <w:p w14:paraId="22FD6C85" w14:textId="77777777" w:rsidR="00FC756B" w:rsidRPr="00A00274" w:rsidRDefault="00FC756B">
      <w:pPr>
        <w:pStyle w:val="CVDescription"/>
        <w:spacing w:after="0"/>
        <w:ind w:left="360" w:right="720"/>
        <w:rPr>
          <w:b/>
          <w:smallCaps/>
          <w:u w:val="single"/>
        </w:rPr>
      </w:pPr>
    </w:p>
    <w:p w14:paraId="6F38ED4D" w14:textId="77777777" w:rsidR="00FC756B" w:rsidRPr="00A00274" w:rsidRDefault="00FC756B">
      <w:pPr>
        <w:pStyle w:val="CVDescription"/>
        <w:spacing w:after="0"/>
        <w:ind w:right="720"/>
        <w:rPr>
          <w:b/>
          <w:smallCaps/>
          <w:u w:val="single"/>
        </w:rPr>
      </w:pPr>
      <w:r w:rsidRPr="00A00274">
        <w:rPr>
          <w:b/>
          <w:smallCaps/>
          <w:u w:val="single"/>
        </w:rPr>
        <w:t>Private Practice</w:t>
      </w:r>
    </w:p>
    <w:p w14:paraId="75F48BA5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187"/>
        <w:rPr>
          <w:rFonts w:ascii="Times New Roman" w:hAnsi="Times New Roman"/>
          <w:b/>
          <w:bCs/>
          <w:smallCaps/>
          <w:szCs w:val="24"/>
        </w:rPr>
      </w:pPr>
    </w:p>
    <w:p w14:paraId="419E2FB4" w14:textId="77777777" w:rsidR="00FC756B" w:rsidRPr="00A00274" w:rsidRDefault="00FC756B">
      <w:pPr>
        <w:tabs>
          <w:tab w:val="left" w:pos="1800"/>
          <w:tab w:val="left" w:pos="7812"/>
          <w:tab w:val="right" w:pos="9360"/>
          <w:tab w:val="right" w:pos="10080"/>
        </w:tabs>
        <w:ind w:left="360"/>
        <w:rPr>
          <w:rFonts w:ascii="Times New Roman" w:hAnsi="Times New Roman"/>
          <w:szCs w:val="24"/>
        </w:rPr>
      </w:pPr>
      <w:r w:rsidRPr="00A00274">
        <w:rPr>
          <w:rFonts w:ascii="Times New Roman" w:hAnsi="Times New Roman"/>
          <w:b/>
          <w:bCs/>
          <w:smallCaps/>
          <w:szCs w:val="24"/>
        </w:rPr>
        <w:t>Holland and Hart, LLP</w:t>
      </w:r>
      <w:r w:rsidRPr="00A00274">
        <w:rPr>
          <w:rFonts w:ascii="Times New Roman" w:hAnsi="Times New Roman"/>
          <w:smallCaps/>
          <w:szCs w:val="24"/>
        </w:rPr>
        <w:t>, Denver, CO</w:t>
      </w:r>
      <w:r w:rsidRPr="00A00274">
        <w:rPr>
          <w:rFonts w:ascii="Times New Roman" w:hAnsi="Times New Roman"/>
          <w:szCs w:val="24"/>
        </w:rPr>
        <w:tab/>
      </w:r>
    </w:p>
    <w:p w14:paraId="40357D92" w14:textId="6818393C" w:rsidR="00FC756B" w:rsidRPr="00A00274" w:rsidRDefault="00FC756B" w:rsidP="00904FB7">
      <w:pPr>
        <w:pStyle w:val="CVDescription"/>
        <w:tabs>
          <w:tab w:val="right" w:pos="10080"/>
        </w:tabs>
        <w:spacing w:after="0"/>
        <w:ind w:left="360"/>
      </w:pPr>
      <w:r w:rsidRPr="00A00274">
        <w:rPr>
          <w:i/>
          <w:iCs/>
        </w:rPr>
        <w:t>Associate, Civil and Appellate Litigation</w:t>
      </w:r>
      <w:r w:rsidRPr="00A00274">
        <w:rPr>
          <w:iCs/>
        </w:rPr>
        <w:t>.</w:t>
      </w:r>
      <w:r w:rsidR="003665E9">
        <w:rPr>
          <w:iCs/>
        </w:rPr>
        <w:t xml:space="preserve"> </w:t>
      </w:r>
      <w:r w:rsidR="004133C9" w:rsidRPr="00A00274">
        <w:t>1999–01; 2003–</w:t>
      </w:r>
      <w:r w:rsidRPr="00A00274">
        <w:t>05.</w:t>
      </w:r>
      <w:r w:rsidR="003665E9">
        <w:t xml:space="preserve"> </w:t>
      </w:r>
      <w:r w:rsidRPr="00A00274">
        <w:t xml:space="preserve">Drafted major motions and briefs for trial and appellate matters in various areas of law, including </w:t>
      </w:r>
      <w:r w:rsidR="00644AA5" w:rsidRPr="00A00274">
        <w:t>tort, contract</w:t>
      </w:r>
      <w:r w:rsidRPr="00A00274">
        <w:t xml:space="preserve">, and </w:t>
      </w:r>
      <w:r w:rsidR="00644AA5" w:rsidRPr="00A00274">
        <w:t>constitutional law</w:t>
      </w:r>
      <w:r w:rsidRPr="00A00274">
        <w:t>; drafted amicus briefs on behalf of various non-profit organizations, including the Colorado Coalition Against Domestic Violence, the Colorado Trial Lawyers Association, and the ACLU of Colorado.</w:t>
      </w:r>
    </w:p>
    <w:p w14:paraId="5F1F31AA" w14:textId="77777777" w:rsidR="00FC756B" w:rsidRPr="00A00274" w:rsidRDefault="00FC756B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rPr>
          <w:sz w:val="24"/>
          <w:szCs w:val="24"/>
        </w:rPr>
      </w:pPr>
    </w:p>
    <w:p w14:paraId="3865C08C" w14:textId="77777777" w:rsidR="00AA30D2" w:rsidRPr="00A00274" w:rsidRDefault="00AA30D2" w:rsidP="00AA30D2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rPr>
          <w:sz w:val="24"/>
          <w:szCs w:val="24"/>
        </w:rPr>
      </w:pPr>
      <w:r w:rsidRPr="00A00274">
        <w:rPr>
          <w:sz w:val="24"/>
          <w:szCs w:val="24"/>
        </w:rPr>
        <w:t>articles</w:t>
      </w:r>
    </w:p>
    <w:p w14:paraId="04C78396" w14:textId="77777777" w:rsidR="00AA30D2" w:rsidRDefault="00AA30D2" w:rsidP="00A637AF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0"/>
      </w:pPr>
    </w:p>
    <w:p w14:paraId="750FCB42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  <w:r w:rsidRPr="00A60F15">
        <w:rPr>
          <w:i/>
        </w:rPr>
        <w:t>Beyond Suspect Classifications</w:t>
      </w:r>
      <w:r w:rsidRPr="00A60F15">
        <w:t xml:space="preserve">, 16 </w:t>
      </w:r>
      <w:r w:rsidRPr="00A60F15">
        <w:rPr>
          <w:smallCaps/>
        </w:rPr>
        <w:t>U. Pa. J. Const. Law</w:t>
      </w:r>
      <w:r w:rsidRPr="00A60F15">
        <w:t xml:space="preserve"> 739 (2014).</w:t>
      </w:r>
    </w:p>
    <w:p w14:paraId="79F5A4E6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0"/>
        <w:rPr>
          <w:i/>
        </w:rPr>
      </w:pPr>
    </w:p>
    <w:p w14:paraId="5FC40A8E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  <w:r w:rsidRPr="00A60F15">
        <w:rPr>
          <w:i/>
        </w:rPr>
        <w:t>Unconstitutional Animus</w:t>
      </w:r>
      <w:r w:rsidRPr="00A60F15">
        <w:t xml:space="preserve">, 81 </w:t>
      </w:r>
      <w:r w:rsidRPr="00A60F15">
        <w:rPr>
          <w:smallCaps/>
        </w:rPr>
        <w:t>Fordham L. Rev.</w:t>
      </w:r>
      <w:r w:rsidRPr="00A60F15">
        <w:t xml:space="preserve"> 887 (2012).</w:t>
      </w:r>
    </w:p>
    <w:p w14:paraId="7ED5E54A" w14:textId="77777777" w:rsidR="00AA30D2" w:rsidRDefault="00AA30D2" w:rsidP="00AA30D2">
      <w:pPr>
        <w:widowControl/>
        <w:suppressAutoHyphens w:val="0"/>
        <w:rPr>
          <w:rFonts w:ascii="Times New Roman" w:hAnsi="Times New Roman"/>
          <w:i/>
          <w:iCs/>
          <w:szCs w:val="24"/>
        </w:rPr>
      </w:pPr>
    </w:p>
    <w:p w14:paraId="6ECA43D0" w14:textId="77777777" w:rsidR="00AA30D2" w:rsidRDefault="00AA30D2" w:rsidP="00AA30D2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ESSAYS</w:t>
      </w:r>
    </w:p>
    <w:p w14:paraId="1B25AC20" w14:textId="3FC20288" w:rsidR="00AA30D2" w:rsidRPr="00A60F15" w:rsidRDefault="00AA30D2" w:rsidP="00852774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0"/>
      </w:pPr>
    </w:p>
    <w:p w14:paraId="0F4918ED" w14:textId="418861D4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  <w:r w:rsidRPr="00A60F15">
        <w:rPr>
          <w:rFonts w:ascii="Times" w:hAnsi="Times"/>
          <w:i/>
        </w:rPr>
        <w:t>Children as Proto-Citizens: Equal Protection, Citizenship, and Lessons from the Child-Centered Cases</w:t>
      </w:r>
      <w:r>
        <w:rPr>
          <w:rFonts w:ascii="Times" w:hAnsi="Times"/>
        </w:rPr>
        <w:t xml:space="preserve">, with </w:t>
      </w:r>
      <w:r w:rsidR="00C56E7E">
        <w:rPr>
          <w:rFonts w:ascii="Times" w:hAnsi="Times"/>
        </w:rPr>
        <w:t xml:space="preserve">Prof. </w:t>
      </w:r>
      <w:r>
        <w:rPr>
          <w:rFonts w:ascii="Times" w:hAnsi="Times"/>
        </w:rPr>
        <w:t>Catherine Smith, 48</w:t>
      </w:r>
      <w:r w:rsidRPr="00A60F15">
        <w:rPr>
          <w:rFonts w:ascii="Times" w:hAnsi="Times"/>
        </w:rPr>
        <w:t xml:space="preserve"> </w:t>
      </w:r>
      <w:r w:rsidRPr="00A60F15">
        <w:rPr>
          <w:rFonts w:ascii="Times" w:hAnsi="Times"/>
          <w:smallCaps/>
        </w:rPr>
        <w:t>U.C. Davis L. Rev.</w:t>
      </w:r>
      <w:r>
        <w:rPr>
          <w:rFonts w:ascii="Times" w:hAnsi="Times"/>
        </w:rPr>
        <w:t xml:space="preserve"> 655 (</w:t>
      </w:r>
      <w:r w:rsidRPr="00A60F15">
        <w:rPr>
          <w:rFonts w:ascii="Times" w:hAnsi="Times"/>
        </w:rPr>
        <w:t xml:space="preserve">2014). </w:t>
      </w:r>
    </w:p>
    <w:p w14:paraId="024DF2A6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</w:p>
    <w:p w14:paraId="036286C7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  <w:r w:rsidRPr="00B220D4">
        <w:rPr>
          <w:i/>
        </w:rPr>
        <w:lastRenderedPageBreak/>
        <w:t>United States v. Windsor</w:t>
      </w:r>
      <w:r w:rsidRPr="00A60F15">
        <w:t xml:space="preserve"> </w:t>
      </w:r>
      <w:r w:rsidRPr="00A60F15">
        <w:rPr>
          <w:i/>
        </w:rPr>
        <w:t>and the Crisis in Equal Protection Jurisprudence</w:t>
      </w:r>
      <w:r w:rsidRPr="00A60F15">
        <w:t xml:space="preserve">, 42 </w:t>
      </w:r>
      <w:r w:rsidRPr="00A60F15">
        <w:rPr>
          <w:smallCaps/>
        </w:rPr>
        <w:t>Hofstra L. Rev</w:t>
      </w:r>
      <w:r w:rsidRPr="00A60F15">
        <w:t>. 105 (2014) (invited submission).</w:t>
      </w:r>
    </w:p>
    <w:p w14:paraId="263FB0C8" w14:textId="27AD6C04" w:rsidR="00AA30D2" w:rsidRDefault="00AA30D2" w:rsidP="00AA30D2">
      <w:pPr>
        <w:widowControl/>
        <w:suppressAutoHyphens w:val="0"/>
        <w:rPr>
          <w:rFonts w:ascii="Times New Roman" w:hAnsi="Times New Roman"/>
          <w:szCs w:val="24"/>
        </w:rPr>
      </w:pPr>
    </w:p>
    <w:p w14:paraId="746DA545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  <w:r w:rsidRPr="00B220D4">
        <w:rPr>
          <w:i/>
        </w:rPr>
        <w:t>Windsor,</w:t>
      </w:r>
      <w:r w:rsidRPr="00A60F15">
        <w:rPr>
          <w:i/>
        </w:rPr>
        <w:t xml:space="preserve"> Animus, and the Future of Marriage Equality</w:t>
      </w:r>
      <w:r w:rsidRPr="00A60F15">
        <w:t xml:space="preserve">, 113 </w:t>
      </w:r>
      <w:r w:rsidRPr="00A60F15">
        <w:rPr>
          <w:smallCaps/>
        </w:rPr>
        <w:t xml:space="preserve">Columbia L. Rev. Sidebar </w:t>
      </w:r>
      <w:r w:rsidRPr="00A60F15">
        <w:t>204 (2013).</w:t>
      </w:r>
    </w:p>
    <w:p w14:paraId="2D6A463F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/>
          <w:iCs/>
        </w:rPr>
      </w:pPr>
    </w:p>
    <w:p w14:paraId="6115B43A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Cs/>
        </w:rPr>
      </w:pPr>
      <w:r w:rsidRPr="003C657C">
        <w:rPr>
          <w:i/>
          <w:iCs/>
        </w:rPr>
        <w:t>Forgetting</w:t>
      </w:r>
      <w:r w:rsidRPr="00B220D4">
        <w:rPr>
          <w:iCs/>
        </w:rPr>
        <w:t xml:space="preserve"> Romer</w:t>
      </w:r>
      <w:r w:rsidRPr="00A60F15">
        <w:rPr>
          <w:iCs/>
        </w:rPr>
        <w:t xml:space="preserve">, </w:t>
      </w:r>
      <w:r w:rsidRPr="00A60F15">
        <w:rPr>
          <w:color w:val="1A1A1A"/>
          <w:lang w:eastAsia="en-US"/>
        </w:rPr>
        <w:t>65 </w:t>
      </w:r>
      <w:r w:rsidRPr="00A60F15">
        <w:rPr>
          <w:smallCaps/>
          <w:color w:val="1A1A1A"/>
          <w:lang w:eastAsia="en-US"/>
        </w:rPr>
        <w:t>Stan. L. Rev. Online</w:t>
      </w:r>
      <w:r w:rsidRPr="00A60F15">
        <w:rPr>
          <w:color w:val="1A1A1A"/>
          <w:lang w:eastAsia="en-US"/>
        </w:rPr>
        <w:t xml:space="preserve"> 86 (2013)</w:t>
      </w:r>
      <w:r w:rsidRPr="00A60F15">
        <w:rPr>
          <w:iCs/>
        </w:rPr>
        <w:t>.</w:t>
      </w:r>
    </w:p>
    <w:p w14:paraId="18B01101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Cs/>
        </w:rPr>
      </w:pPr>
    </w:p>
    <w:p w14:paraId="35891779" w14:textId="77777777" w:rsidR="00AA30D2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  <w:r w:rsidRPr="00A60F15">
        <w:rPr>
          <w:i/>
          <w:iCs/>
        </w:rPr>
        <w:t xml:space="preserve">Casting </w:t>
      </w:r>
      <w:r w:rsidRPr="00B220D4">
        <w:rPr>
          <w:iCs/>
        </w:rPr>
        <w:t>Shadows: Fisher v. University of Texas at Austin and</w:t>
      </w:r>
      <w:r w:rsidRPr="00A60F15">
        <w:rPr>
          <w:i/>
          <w:iCs/>
        </w:rPr>
        <w:t xml:space="preserve"> The Misplaced Fear of "Too Much</w:t>
      </w:r>
      <w:r>
        <w:rPr>
          <w:i/>
          <w:iCs/>
        </w:rPr>
        <w:t>”</w:t>
      </w:r>
      <w:r w:rsidRPr="00A60F15">
        <w:rPr>
          <w:i/>
          <w:iCs/>
        </w:rPr>
        <w:t xml:space="preserve"> Diversity</w:t>
      </w:r>
      <w:r w:rsidRPr="007449EE">
        <w:t>,</w:t>
      </w:r>
      <w:r w:rsidRPr="00A60F15">
        <w:rPr>
          <w:i/>
        </w:rPr>
        <w:t xml:space="preserve"> </w:t>
      </w:r>
      <w:r w:rsidRPr="00A60F15">
        <w:rPr>
          <w:color w:val="262626"/>
          <w:lang w:eastAsia="en-US"/>
        </w:rPr>
        <w:t xml:space="preserve">72 </w:t>
      </w:r>
      <w:r w:rsidRPr="00A60F15">
        <w:rPr>
          <w:smallCaps/>
          <w:color w:val="262626"/>
          <w:lang w:eastAsia="en-US"/>
        </w:rPr>
        <w:t>Md. L. Rev. Endnotes</w:t>
      </w:r>
      <w:r w:rsidRPr="00A60F15">
        <w:rPr>
          <w:color w:val="262626"/>
          <w:lang w:eastAsia="en-US"/>
        </w:rPr>
        <w:t xml:space="preserve"> 1 </w:t>
      </w:r>
      <w:r w:rsidRPr="00A60F15">
        <w:t>(2012).</w:t>
      </w:r>
    </w:p>
    <w:p w14:paraId="67565B11" w14:textId="77777777" w:rsidR="00AA30D2" w:rsidRDefault="00AA30D2" w:rsidP="00AA30D2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rPr>
          <w:sz w:val="24"/>
          <w:szCs w:val="24"/>
        </w:rPr>
      </w:pPr>
    </w:p>
    <w:p w14:paraId="76F07A68" w14:textId="77777777" w:rsidR="00AA30D2" w:rsidRPr="00A00274" w:rsidRDefault="00AA30D2" w:rsidP="00AA30D2">
      <w:pPr>
        <w:pStyle w:val="CVCategory"/>
        <w:tabs>
          <w:tab w:val="left" w:pos="1800"/>
          <w:tab w:val="left" w:pos="7812"/>
          <w:tab w:val="right" w:pos="1008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AMICUS BRIEFS</w:t>
      </w:r>
    </w:p>
    <w:p w14:paraId="0294E2D1" w14:textId="77777777" w:rsidR="00AA30D2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</w:p>
    <w:p w14:paraId="24CE294B" w14:textId="77777777" w:rsidR="00AA30D2" w:rsidRPr="0057447D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Cs/>
        </w:rPr>
      </w:pPr>
      <w:r w:rsidRPr="00A60F15">
        <w:rPr>
          <w:iCs/>
        </w:rPr>
        <w:t xml:space="preserve">Amicus Brief of Scholars of the Constitutional Rights of Children, filed in </w:t>
      </w:r>
      <w:r>
        <w:rPr>
          <w:i/>
          <w:iCs/>
        </w:rPr>
        <w:t>Obergefell v. Hodges</w:t>
      </w:r>
      <w:r w:rsidRPr="00A60F15">
        <w:rPr>
          <w:iCs/>
        </w:rPr>
        <w:t>, United States Supreme Court, No</w:t>
      </w:r>
      <w:r>
        <w:rPr>
          <w:iCs/>
        </w:rPr>
        <w:t>s. 14</w:t>
      </w:r>
      <w:r w:rsidRPr="007449EE">
        <w:t>–</w:t>
      </w:r>
      <w:r>
        <w:rPr>
          <w:iCs/>
        </w:rPr>
        <w:t>556, 14</w:t>
      </w:r>
      <w:r w:rsidRPr="007449EE">
        <w:t>–</w:t>
      </w:r>
      <w:r>
        <w:rPr>
          <w:iCs/>
        </w:rPr>
        <w:t>571, 14</w:t>
      </w:r>
      <w:r w:rsidRPr="007449EE">
        <w:t>–</w:t>
      </w:r>
      <w:r>
        <w:rPr>
          <w:iCs/>
        </w:rPr>
        <w:t>574</w:t>
      </w:r>
      <w:r w:rsidRPr="00A60F15">
        <w:rPr>
          <w:iCs/>
        </w:rPr>
        <w:t xml:space="preserve"> (</w:t>
      </w:r>
      <w:r>
        <w:rPr>
          <w:iCs/>
        </w:rPr>
        <w:t>May 5, 2015</w:t>
      </w:r>
      <w:r w:rsidRPr="00A60F15">
        <w:rPr>
          <w:iCs/>
        </w:rPr>
        <w:t>), with Prof. Catherine Smith and Prof. Tanya Washingt</w:t>
      </w:r>
      <w:r>
        <w:rPr>
          <w:iCs/>
        </w:rPr>
        <w:t xml:space="preserve">on, </w:t>
      </w:r>
      <w:r>
        <w:rPr>
          <w:iCs/>
          <w:u w:val="single"/>
        </w:rPr>
        <w:t>c</w:t>
      </w:r>
      <w:r w:rsidRPr="0066516F">
        <w:rPr>
          <w:iCs/>
          <w:u w:val="single"/>
        </w:rPr>
        <w:t xml:space="preserve">ited by the United States Supreme Court in </w:t>
      </w:r>
      <w:r w:rsidRPr="0066516F">
        <w:rPr>
          <w:i/>
          <w:iCs/>
          <w:u w:val="single"/>
        </w:rPr>
        <w:t>Obergefell v. Hodges</w:t>
      </w:r>
      <w:r w:rsidRPr="0066516F">
        <w:rPr>
          <w:iCs/>
          <w:u w:val="single"/>
        </w:rPr>
        <w:t xml:space="preserve">, </w:t>
      </w:r>
      <w:r w:rsidRPr="0066516F">
        <w:rPr>
          <w:u w:val="single"/>
        </w:rPr>
        <w:t xml:space="preserve">No. 14–556, 2015 WL 2473451 at *15, --- </w:t>
      </w:r>
      <w:proofErr w:type="spellStart"/>
      <w:r w:rsidRPr="0066516F">
        <w:rPr>
          <w:u w:val="single"/>
        </w:rPr>
        <w:t>S.Ct</w:t>
      </w:r>
      <w:proofErr w:type="spellEnd"/>
      <w:r w:rsidRPr="0066516F">
        <w:rPr>
          <w:u w:val="single"/>
        </w:rPr>
        <w:t>. --- (June 26, 2015).</w:t>
      </w:r>
    </w:p>
    <w:p w14:paraId="1412F306" w14:textId="77777777" w:rsidR="00AA30D2" w:rsidRPr="003665E9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Cs/>
        </w:rPr>
      </w:pPr>
    </w:p>
    <w:p w14:paraId="3601F051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Cs/>
        </w:rPr>
      </w:pPr>
      <w:r w:rsidRPr="00A60F15">
        <w:rPr>
          <w:iCs/>
        </w:rPr>
        <w:t xml:space="preserve">Amicus Brief of Scholars of the Law of Unconstitutional Animus, filed in </w:t>
      </w:r>
      <w:r w:rsidRPr="00A60F15">
        <w:rPr>
          <w:i/>
          <w:iCs/>
        </w:rPr>
        <w:t>Animal Legal Defense Fund, et al. v. Otter, et al.</w:t>
      </w:r>
      <w:r>
        <w:rPr>
          <w:iCs/>
        </w:rPr>
        <w:t>, United States District Court for the District of Idaho, No. 1:14-cv-00104-BLW (Dec. 1, 2014)</w:t>
      </w:r>
      <w:r w:rsidRPr="00A60F15">
        <w:rPr>
          <w:iCs/>
        </w:rPr>
        <w:t>, with Prof. William Araiza.</w:t>
      </w:r>
    </w:p>
    <w:p w14:paraId="036D23AE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0"/>
      </w:pPr>
    </w:p>
    <w:p w14:paraId="0CFE6BEF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  <w:r w:rsidRPr="00A60F15">
        <w:rPr>
          <w:iCs/>
        </w:rPr>
        <w:t xml:space="preserve">Amicus Brief of Scholars of the Constitutional Rights of Children, filed in </w:t>
      </w:r>
      <w:proofErr w:type="spellStart"/>
      <w:r>
        <w:rPr>
          <w:i/>
          <w:iCs/>
        </w:rPr>
        <w:t>Robicheaux</w:t>
      </w:r>
      <w:proofErr w:type="spellEnd"/>
      <w:r>
        <w:rPr>
          <w:i/>
          <w:iCs/>
        </w:rPr>
        <w:t xml:space="preserve"> v. Caldwell</w:t>
      </w:r>
      <w:r>
        <w:rPr>
          <w:iCs/>
        </w:rPr>
        <w:t>, United States Court of Appeals for the Fifth Circuit, No. 14-31037 (Oct. 24, 2014), with Prof. Catherine Smith and Prof. Tanya Washington.</w:t>
      </w:r>
    </w:p>
    <w:p w14:paraId="177F5943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</w:p>
    <w:p w14:paraId="0B9023FA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Cs/>
        </w:rPr>
      </w:pPr>
      <w:r w:rsidRPr="00A60F15">
        <w:rPr>
          <w:iCs/>
        </w:rPr>
        <w:t xml:space="preserve">Amicus Brief of Susannah W. Pollvogt, Scholar of the Law of Unconstitutional Animus, filed in </w:t>
      </w:r>
      <w:r>
        <w:rPr>
          <w:i/>
          <w:iCs/>
        </w:rPr>
        <w:t>Henry v. Himes</w:t>
      </w:r>
      <w:r>
        <w:rPr>
          <w:iCs/>
        </w:rPr>
        <w:t>, United States Court of Appeals for the Sixth Circuit, No. 14-3464 (July 15, 2014).</w:t>
      </w:r>
    </w:p>
    <w:p w14:paraId="33C0EFFC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Cs/>
        </w:rPr>
      </w:pPr>
    </w:p>
    <w:p w14:paraId="0BC358F0" w14:textId="77777777" w:rsidR="00AA30D2" w:rsidRPr="00A60F15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</w:pPr>
      <w:r w:rsidRPr="00A60F15">
        <w:rPr>
          <w:iCs/>
        </w:rPr>
        <w:t xml:space="preserve">Amicus Brief of Scholars of the Constitutional Rights of Children, filed in </w:t>
      </w:r>
      <w:r w:rsidRPr="00A60F15">
        <w:rPr>
          <w:i/>
          <w:iCs/>
        </w:rPr>
        <w:t>United States v. Windsor</w:t>
      </w:r>
      <w:r w:rsidRPr="00A60F15">
        <w:rPr>
          <w:iCs/>
        </w:rPr>
        <w:t>, United States Supreme Court, No. 12-307 (</w:t>
      </w:r>
      <w:r>
        <w:rPr>
          <w:iCs/>
        </w:rPr>
        <w:t>March 2, 2013</w:t>
      </w:r>
      <w:r w:rsidRPr="00A60F15">
        <w:rPr>
          <w:iCs/>
        </w:rPr>
        <w:t>), with Prof. Catherine Smith and Prof. Tanya Washingt</w:t>
      </w:r>
      <w:r>
        <w:rPr>
          <w:iCs/>
        </w:rPr>
        <w:t>on.</w:t>
      </w:r>
    </w:p>
    <w:p w14:paraId="6037A01D" w14:textId="77777777" w:rsidR="00AA30D2" w:rsidRDefault="00AA30D2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ind w:left="360"/>
        <w:rPr>
          <w:iCs/>
        </w:rPr>
      </w:pPr>
    </w:p>
    <w:p w14:paraId="41AF25FE" w14:textId="3176DF6A" w:rsidR="00487FD1" w:rsidRPr="0066516F" w:rsidRDefault="00487FD1" w:rsidP="00AA30D2">
      <w:pPr>
        <w:pStyle w:val="CVDescription"/>
        <w:tabs>
          <w:tab w:val="left" w:pos="1800"/>
          <w:tab w:val="left" w:pos="7812"/>
          <w:tab w:val="right" w:pos="10080"/>
        </w:tabs>
        <w:spacing w:after="0"/>
        <w:rPr>
          <w:iCs/>
        </w:rPr>
      </w:pPr>
    </w:p>
    <w:sectPr w:rsidR="00487FD1" w:rsidRPr="0066516F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3464" w14:textId="77777777" w:rsidR="007108D4" w:rsidRDefault="007108D4">
      <w:r>
        <w:separator/>
      </w:r>
    </w:p>
  </w:endnote>
  <w:endnote w:type="continuationSeparator" w:id="0">
    <w:p w14:paraId="6D2A54C6" w14:textId="77777777" w:rsidR="007108D4" w:rsidRDefault="0071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E652" w14:textId="77777777" w:rsidR="003665E9" w:rsidRDefault="003665E9" w:rsidP="00C31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4BA3D" w14:textId="3A6F515B" w:rsidR="003665E9" w:rsidRDefault="007108D4" w:rsidP="000D540C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3665E9">
          <w:t>[Type text]</w:t>
        </w:r>
      </w:sdtContent>
    </w:sdt>
    <w:r w:rsidR="003665E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665E9">
          <w:t>[Type text]</w:t>
        </w:r>
      </w:sdtContent>
    </w:sdt>
    <w:r w:rsidR="003665E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665E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95E8" w14:textId="708F23ED" w:rsidR="003665E9" w:rsidRDefault="003665E9" w:rsidP="00C31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0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3F6963" w14:textId="0FBAEEEE" w:rsidR="003665E9" w:rsidRDefault="003665E9" w:rsidP="000D54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0ECE" w14:textId="77777777" w:rsidR="007108D4" w:rsidRDefault="007108D4">
      <w:r>
        <w:separator/>
      </w:r>
    </w:p>
  </w:footnote>
  <w:footnote w:type="continuationSeparator" w:id="0">
    <w:p w14:paraId="76FD3B6D" w14:textId="77777777" w:rsidR="007108D4" w:rsidRDefault="0071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995B" w14:textId="77777777" w:rsidR="003665E9" w:rsidRDefault="007108D4">
    <w:pPr>
      <w:pStyle w:val="Header"/>
    </w:pPr>
    <w:sdt>
      <w:sdtPr>
        <w:id w:val="171999623"/>
        <w:placeholder>
          <w:docPart w:val="5D23018EAA96E042AC507B3DA21034BC"/>
        </w:placeholder>
        <w:temporary/>
        <w:showingPlcHdr/>
      </w:sdtPr>
      <w:sdtEndPr/>
      <w:sdtContent>
        <w:r w:rsidR="003665E9">
          <w:t>[Type text]</w:t>
        </w:r>
      </w:sdtContent>
    </w:sdt>
    <w:r w:rsidR="003665E9">
      <w:ptab w:relativeTo="margin" w:alignment="center" w:leader="none"/>
    </w:r>
    <w:sdt>
      <w:sdtPr>
        <w:id w:val="171999624"/>
        <w:placeholder>
          <w:docPart w:val="F801BA8CD3600B4BBE98B8F8FB37F812"/>
        </w:placeholder>
        <w:temporary/>
        <w:showingPlcHdr/>
      </w:sdtPr>
      <w:sdtEndPr/>
      <w:sdtContent>
        <w:r w:rsidR="003665E9">
          <w:t>[Type text]</w:t>
        </w:r>
      </w:sdtContent>
    </w:sdt>
    <w:r w:rsidR="003665E9">
      <w:ptab w:relativeTo="margin" w:alignment="right" w:leader="none"/>
    </w:r>
    <w:sdt>
      <w:sdtPr>
        <w:id w:val="171999625"/>
        <w:placeholder>
          <w:docPart w:val="C959E54DEC1C024EA3E2B7EE399C504E"/>
        </w:placeholder>
        <w:temporary/>
        <w:showingPlcHdr/>
      </w:sdtPr>
      <w:sdtEndPr/>
      <w:sdtContent>
        <w:r w:rsidR="003665E9">
          <w:t>[Type text]</w:t>
        </w:r>
      </w:sdtContent>
    </w:sdt>
  </w:p>
  <w:p w14:paraId="273CC741" w14:textId="77777777" w:rsidR="003665E9" w:rsidRDefault="00366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9E"/>
    <w:rsid w:val="00004D00"/>
    <w:rsid w:val="00010C28"/>
    <w:rsid w:val="000304B8"/>
    <w:rsid w:val="000407E9"/>
    <w:rsid w:val="00042850"/>
    <w:rsid w:val="00043772"/>
    <w:rsid w:val="000508F2"/>
    <w:rsid w:val="00075F9F"/>
    <w:rsid w:val="000874E5"/>
    <w:rsid w:val="000D184F"/>
    <w:rsid w:val="000D4AEF"/>
    <w:rsid w:val="000D5279"/>
    <w:rsid w:val="000D540C"/>
    <w:rsid w:val="000F47BE"/>
    <w:rsid w:val="001070C0"/>
    <w:rsid w:val="0012686A"/>
    <w:rsid w:val="0014579E"/>
    <w:rsid w:val="00150F9E"/>
    <w:rsid w:val="00151EFB"/>
    <w:rsid w:val="00152EB3"/>
    <w:rsid w:val="00154DB7"/>
    <w:rsid w:val="00165E71"/>
    <w:rsid w:val="00167B8B"/>
    <w:rsid w:val="00177E2B"/>
    <w:rsid w:val="00186EAB"/>
    <w:rsid w:val="001B4E83"/>
    <w:rsid w:val="001B746D"/>
    <w:rsid w:val="001B7E09"/>
    <w:rsid w:val="001C62C5"/>
    <w:rsid w:val="001D77F6"/>
    <w:rsid w:val="001E68CE"/>
    <w:rsid w:val="001F57CD"/>
    <w:rsid w:val="00203D64"/>
    <w:rsid w:val="00213B80"/>
    <w:rsid w:val="0024607E"/>
    <w:rsid w:val="00250EA0"/>
    <w:rsid w:val="00261F7E"/>
    <w:rsid w:val="0027165D"/>
    <w:rsid w:val="0029078B"/>
    <w:rsid w:val="00293976"/>
    <w:rsid w:val="0029768F"/>
    <w:rsid w:val="002A6D69"/>
    <w:rsid w:val="002B46A6"/>
    <w:rsid w:val="002C4899"/>
    <w:rsid w:val="002D7049"/>
    <w:rsid w:val="002D76E5"/>
    <w:rsid w:val="002E0F41"/>
    <w:rsid w:val="002E2DA9"/>
    <w:rsid w:val="002F1176"/>
    <w:rsid w:val="002F6EAE"/>
    <w:rsid w:val="003052B4"/>
    <w:rsid w:val="00312E50"/>
    <w:rsid w:val="00315C00"/>
    <w:rsid w:val="00324608"/>
    <w:rsid w:val="00326A0D"/>
    <w:rsid w:val="00333E4D"/>
    <w:rsid w:val="003522BB"/>
    <w:rsid w:val="003665E9"/>
    <w:rsid w:val="00367F75"/>
    <w:rsid w:val="00391E04"/>
    <w:rsid w:val="00396B89"/>
    <w:rsid w:val="003B0B09"/>
    <w:rsid w:val="003B0F59"/>
    <w:rsid w:val="003B4949"/>
    <w:rsid w:val="003C657C"/>
    <w:rsid w:val="003D12C4"/>
    <w:rsid w:val="003E173C"/>
    <w:rsid w:val="003E57AD"/>
    <w:rsid w:val="003F1260"/>
    <w:rsid w:val="004133C9"/>
    <w:rsid w:val="00415401"/>
    <w:rsid w:val="004243F9"/>
    <w:rsid w:val="00425283"/>
    <w:rsid w:val="00442D5A"/>
    <w:rsid w:val="00450FAE"/>
    <w:rsid w:val="00455289"/>
    <w:rsid w:val="00455303"/>
    <w:rsid w:val="004613F5"/>
    <w:rsid w:val="00462CBB"/>
    <w:rsid w:val="00470E8E"/>
    <w:rsid w:val="00471638"/>
    <w:rsid w:val="00480108"/>
    <w:rsid w:val="00487FD1"/>
    <w:rsid w:val="00491F7F"/>
    <w:rsid w:val="00494FF3"/>
    <w:rsid w:val="004A1125"/>
    <w:rsid w:val="004B07E6"/>
    <w:rsid w:val="004B1F45"/>
    <w:rsid w:val="004C4FC8"/>
    <w:rsid w:val="004D0169"/>
    <w:rsid w:val="004E7134"/>
    <w:rsid w:val="00500476"/>
    <w:rsid w:val="005011CC"/>
    <w:rsid w:val="005049BC"/>
    <w:rsid w:val="00514460"/>
    <w:rsid w:val="0053592A"/>
    <w:rsid w:val="00552082"/>
    <w:rsid w:val="00562D9E"/>
    <w:rsid w:val="005650E4"/>
    <w:rsid w:val="005710A5"/>
    <w:rsid w:val="0057408C"/>
    <w:rsid w:val="0057447D"/>
    <w:rsid w:val="005814D9"/>
    <w:rsid w:val="00582811"/>
    <w:rsid w:val="00584596"/>
    <w:rsid w:val="00591890"/>
    <w:rsid w:val="005A0352"/>
    <w:rsid w:val="005B10A6"/>
    <w:rsid w:val="005B1176"/>
    <w:rsid w:val="005D5B04"/>
    <w:rsid w:val="005F589C"/>
    <w:rsid w:val="005F6151"/>
    <w:rsid w:val="00622555"/>
    <w:rsid w:val="006239DC"/>
    <w:rsid w:val="00634046"/>
    <w:rsid w:val="00644AA5"/>
    <w:rsid w:val="00650F60"/>
    <w:rsid w:val="00653183"/>
    <w:rsid w:val="0066034D"/>
    <w:rsid w:val="0066516F"/>
    <w:rsid w:val="00697815"/>
    <w:rsid w:val="006A6B8D"/>
    <w:rsid w:val="006B238D"/>
    <w:rsid w:val="006B6B4C"/>
    <w:rsid w:val="006C2A87"/>
    <w:rsid w:val="006D2233"/>
    <w:rsid w:val="006E45D3"/>
    <w:rsid w:val="006E6B2D"/>
    <w:rsid w:val="006F10AB"/>
    <w:rsid w:val="006F6F2E"/>
    <w:rsid w:val="006F7F0A"/>
    <w:rsid w:val="00706C72"/>
    <w:rsid w:val="007108D4"/>
    <w:rsid w:val="00714524"/>
    <w:rsid w:val="00723CDC"/>
    <w:rsid w:val="00727373"/>
    <w:rsid w:val="007301A7"/>
    <w:rsid w:val="007310A2"/>
    <w:rsid w:val="00732642"/>
    <w:rsid w:val="007336E6"/>
    <w:rsid w:val="007449EE"/>
    <w:rsid w:val="007548AA"/>
    <w:rsid w:val="007757EF"/>
    <w:rsid w:val="007916BA"/>
    <w:rsid w:val="007948DC"/>
    <w:rsid w:val="00796F40"/>
    <w:rsid w:val="007A4890"/>
    <w:rsid w:val="007A7E6E"/>
    <w:rsid w:val="007D21A7"/>
    <w:rsid w:val="007E2D38"/>
    <w:rsid w:val="007F6B53"/>
    <w:rsid w:val="00805355"/>
    <w:rsid w:val="008066EB"/>
    <w:rsid w:val="00813665"/>
    <w:rsid w:val="00814CFD"/>
    <w:rsid w:val="00827597"/>
    <w:rsid w:val="0083105A"/>
    <w:rsid w:val="00842430"/>
    <w:rsid w:val="00852774"/>
    <w:rsid w:val="00855FA3"/>
    <w:rsid w:val="0086655A"/>
    <w:rsid w:val="00871C54"/>
    <w:rsid w:val="00875393"/>
    <w:rsid w:val="00877DCB"/>
    <w:rsid w:val="00890F82"/>
    <w:rsid w:val="00893457"/>
    <w:rsid w:val="00893F33"/>
    <w:rsid w:val="008A6640"/>
    <w:rsid w:val="008B424F"/>
    <w:rsid w:val="008B5304"/>
    <w:rsid w:val="008C5294"/>
    <w:rsid w:val="008D2C71"/>
    <w:rsid w:val="008D684B"/>
    <w:rsid w:val="008D725F"/>
    <w:rsid w:val="008F45E3"/>
    <w:rsid w:val="00904FB7"/>
    <w:rsid w:val="00911325"/>
    <w:rsid w:val="009162EC"/>
    <w:rsid w:val="00920497"/>
    <w:rsid w:val="009468BE"/>
    <w:rsid w:val="009615EE"/>
    <w:rsid w:val="009667E9"/>
    <w:rsid w:val="0097009B"/>
    <w:rsid w:val="00984C3A"/>
    <w:rsid w:val="009865C8"/>
    <w:rsid w:val="009B0FB3"/>
    <w:rsid w:val="009B477D"/>
    <w:rsid w:val="009C128A"/>
    <w:rsid w:val="009D1C5E"/>
    <w:rsid w:val="009D2A6C"/>
    <w:rsid w:val="009D3A7E"/>
    <w:rsid w:val="009D6421"/>
    <w:rsid w:val="009E0DA8"/>
    <w:rsid w:val="00A00274"/>
    <w:rsid w:val="00A21FA2"/>
    <w:rsid w:val="00A27A52"/>
    <w:rsid w:val="00A37E0D"/>
    <w:rsid w:val="00A54902"/>
    <w:rsid w:val="00A60F15"/>
    <w:rsid w:val="00A637AF"/>
    <w:rsid w:val="00A64167"/>
    <w:rsid w:val="00A710A8"/>
    <w:rsid w:val="00A85288"/>
    <w:rsid w:val="00AA0F81"/>
    <w:rsid w:val="00AA30D2"/>
    <w:rsid w:val="00AC6272"/>
    <w:rsid w:val="00AD2034"/>
    <w:rsid w:val="00AE6A32"/>
    <w:rsid w:val="00AE716E"/>
    <w:rsid w:val="00AE74F8"/>
    <w:rsid w:val="00AF0FFC"/>
    <w:rsid w:val="00B11411"/>
    <w:rsid w:val="00B15201"/>
    <w:rsid w:val="00B26565"/>
    <w:rsid w:val="00B269C8"/>
    <w:rsid w:val="00B354AC"/>
    <w:rsid w:val="00B526A5"/>
    <w:rsid w:val="00B604F6"/>
    <w:rsid w:val="00B646BF"/>
    <w:rsid w:val="00B8131D"/>
    <w:rsid w:val="00B8278A"/>
    <w:rsid w:val="00B82914"/>
    <w:rsid w:val="00B848A2"/>
    <w:rsid w:val="00B936F6"/>
    <w:rsid w:val="00BA7E18"/>
    <w:rsid w:val="00BD7137"/>
    <w:rsid w:val="00C02685"/>
    <w:rsid w:val="00C16A9C"/>
    <w:rsid w:val="00C22D30"/>
    <w:rsid w:val="00C31D88"/>
    <w:rsid w:val="00C36D10"/>
    <w:rsid w:val="00C456DF"/>
    <w:rsid w:val="00C56E7E"/>
    <w:rsid w:val="00C65FDE"/>
    <w:rsid w:val="00C7440D"/>
    <w:rsid w:val="00C75C4F"/>
    <w:rsid w:val="00C80EDA"/>
    <w:rsid w:val="00C9072D"/>
    <w:rsid w:val="00C925DE"/>
    <w:rsid w:val="00CA199E"/>
    <w:rsid w:val="00CB79FF"/>
    <w:rsid w:val="00CD4287"/>
    <w:rsid w:val="00CF1E21"/>
    <w:rsid w:val="00D11579"/>
    <w:rsid w:val="00D121A2"/>
    <w:rsid w:val="00D2119D"/>
    <w:rsid w:val="00D36179"/>
    <w:rsid w:val="00D379D6"/>
    <w:rsid w:val="00D42CE7"/>
    <w:rsid w:val="00D566D7"/>
    <w:rsid w:val="00D61820"/>
    <w:rsid w:val="00D66D09"/>
    <w:rsid w:val="00D771D6"/>
    <w:rsid w:val="00D85EAB"/>
    <w:rsid w:val="00D91CDF"/>
    <w:rsid w:val="00D920B9"/>
    <w:rsid w:val="00D97006"/>
    <w:rsid w:val="00DA5C3E"/>
    <w:rsid w:val="00DD5B6C"/>
    <w:rsid w:val="00DD7B76"/>
    <w:rsid w:val="00DF4360"/>
    <w:rsid w:val="00E0084B"/>
    <w:rsid w:val="00E0094E"/>
    <w:rsid w:val="00E01ACC"/>
    <w:rsid w:val="00E131D9"/>
    <w:rsid w:val="00E507F7"/>
    <w:rsid w:val="00E52604"/>
    <w:rsid w:val="00E541E4"/>
    <w:rsid w:val="00E61E7F"/>
    <w:rsid w:val="00E705D5"/>
    <w:rsid w:val="00E805CB"/>
    <w:rsid w:val="00E91974"/>
    <w:rsid w:val="00EB309C"/>
    <w:rsid w:val="00EE38F4"/>
    <w:rsid w:val="00EE432E"/>
    <w:rsid w:val="00EE5D8F"/>
    <w:rsid w:val="00F022DF"/>
    <w:rsid w:val="00F265B3"/>
    <w:rsid w:val="00F34103"/>
    <w:rsid w:val="00F428D0"/>
    <w:rsid w:val="00F46CF9"/>
    <w:rsid w:val="00F57432"/>
    <w:rsid w:val="00F72C8A"/>
    <w:rsid w:val="00F76F4E"/>
    <w:rsid w:val="00F90EC6"/>
    <w:rsid w:val="00FB3FC6"/>
    <w:rsid w:val="00FC54B4"/>
    <w:rsid w:val="00FC756B"/>
    <w:rsid w:val="00FD10BC"/>
    <w:rsid w:val="00FD36BC"/>
    <w:rsid w:val="00FD5C46"/>
    <w:rsid w:val="00FE270B"/>
    <w:rsid w:val="00FE6629"/>
    <w:rsid w:val="00FF2361"/>
    <w:rsid w:val="00FF5333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024134"/>
  <w14:defaultImageDpi w14:val="300"/>
  <w15:docId w15:val="{86D54ABA-6169-4806-98F5-B9CCEFB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G Times" w:hAnsi="CG 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apple-style-span">
    <w:name w:val="apple-style-span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sz w:val="26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pPr>
      <w:ind w:left="540"/>
    </w:pPr>
    <w:rPr>
      <w:rFonts w:ascii="Times New Roman" w:hAnsi="Times New Roman"/>
      <w:sz w:val="22"/>
    </w:rPr>
  </w:style>
  <w:style w:type="paragraph" w:customStyle="1" w:styleId="ShortReturnAddress">
    <w:name w:val="Short Return Address"/>
    <w:basedOn w:val="Normal"/>
  </w:style>
  <w:style w:type="paragraph" w:styleId="BodyTextIndent3">
    <w:name w:val="Body Text Indent 3"/>
    <w:basedOn w:val="Normal"/>
    <w:pPr>
      <w:tabs>
        <w:tab w:val="left" w:pos="-1350"/>
        <w:tab w:val="right" w:pos="10440"/>
      </w:tabs>
      <w:ind w:left="540" w:firstLine="7"/>
    </w:pPr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VCategory">
    <w:name w:val="CV Category"/>
    <w:basedOn w:val="Heading1"/>
    <w:pPr>
      <w:numPr>
        <w:numId w:val="0"/>
      </w:numPr>
      <w:tabs>
        <w:tab w:val="right" w:pos="9360"/>
      </w:tabs>
      <w:spacing w:before="240" w:after="120"/>
    </w:pPr>
    <w:rPr>
      <w:rFonts w:ascii="Times New Roman" w:hAnsi="Times New Roman"/>
      <w:caps/>
      <w:sz w:val="26"/>
      <w:szCs w:val="26"/>
    </w:rPr>
  </w:style>
  <w:style w:type="paragraph" w:customStyle="1" w:styleId="CVDescription">
    <w:name w:val="CV Description"/>
    <w:basedOn w:val="Normal"/>
    <w:pPr>
      <w:tabs>
        <w:tab w:val="right" w:pos="9360"/>
      </w:tabs>
      <w:spacing w:after="240"/>
      <w:ind w:left="187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D4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07E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D21A7"/>
    <w:rPr>
      <w:rFonts w:ascii="CG Times" w:hAnsi="CG Times"/>
      <w:sz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239DC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6239DC"/>
  </w:style>
  <w:style w:type="character" w:styleId="Emphasis">
    <w:name w:val="Emphasis"/>
    <w:basedOn w:val="DefaultParagraphFont"/>
    <w:uiPriority w:val="20"/>
    <w:qFormat/>
    <w:rsid w:val="006239D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52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04"/>
    <w:rPr>
      <w:rFonts w:ascii="CG Times" w:hAnsi="CG Times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04"/>
    <w:rPr>
      <w:rFonts w:ascii="CG Times" w:hAnsi="CG Time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23018EAA96E042AC507B3DA210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38D9-7B04-C849-9941-34938B083272}"/>
      </w:docPartPr>
      <w:docPartBody>
        <w:p w:rsidR="00C11BFA" w:rsidRDefault="00C11BFA" w:rsidP="00C11BFA">
          <w:pPr>
            <w:pStyle w:val="5D23018EAA96E042AC507B3DA21034BC"/>
          </w:pPr>
          <w:r>
            <w:t>[Type text]</w:t>
          </w:r>
        </w:p>
      </w:docPartBody>
    </w:docPart>
    <w:docPart>
      <w:docPartPr>
        <w:name w:val="F801BA8CD3600B4BBE98B8F8FB37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81B7-C50B-7E4D-BCC1-FBB905D1880D}"/>
      </w:docPartPr>
      <w:docPartBody>
        <w:p w:rsidR="00C11BFA" w:rsidRDefault="00C11BFA" w:rsidP="00C11BFA">
          <w:pPr>
            <w:pStyle w:val="F801BA8CD3600B4BBE98B8F8FB37F812"/>
          </w:pPr>
          <w:r>
            <w:t>[Type text]</w:t>
          </w:r>
        </w:p>
      </w:docPartBody>
    </w:docPart>
    <w:docPart>
      <w:docPartPr>
        <w:name w:val="C959E54DEC1C024EA3E2B7EE399C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4E10-BABF-EF42-B143-268BD6E1CE29}"/>
      </w:docPartPr>
      <w:docPartBody>
        <w:p w:rsidR="00C11BFA" w:rsidRDefault="00C11BFA" w:rsidP="00C11BFA">
          <w:pPr>
            <w:pStyle w:val="C959E54DEC1C024EA3E2B7EE399C50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68"/>
    <w:rsid w:val="00036ECF"/>
    <w:rsid w:val="00041C69"/>
    <w:rsid w:val="00044DC6"/>
    <w:rsid w:val="00156B41"/>
    <w:rsid w:val="00421437"/>
    <w:rsid w:val="00471569"/>
    <w:rsid w:val="0066279A"/>
    <w:rsid w:val="006710EF"/>
    <w:rsid w:val="00712625"/>
    <w:rsid w:val="008560EB"/>
    <w:rsid w:val="00A27EC9"/>
    <w:rsid w:val="00AA6216"/>
    <w:rsid w:val="00BB55FD"/>
    <w:rsid w:val="00C11BFA"/>
    <w:rsid w:val="00C46A79"/>
    <w:rsid w:val="00C91AD1"/>
    <w:rsid w:val="00F47568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23018EAA96E042AC507B3DA21034BC">
    <w:name w:val="5D23018EAA96E042AC507B3DA21034BC"/>
    <w:rsid w:val="00C11BFA"/>
  </w:style>
  <w:style w:type="paragraph" w:customStyle="1" w:styleId="F801BA8CD3600B4BBE98B8F8FB37F812">
    <w:name w:val="F801BA8CD3600B4BBE98B8F8FB37F812"/>
    <w:rsid w:val="00C11BFA"/>
  </w:style>
  <w:style w:type="paragraph" w:customStyle="1" w:styleId="C959E54DEC1C024EA3E2B7EE399C504E">
    <w:name w:val="C959E54DEC1C024EA3E2B7EE399C504E"/>
    <w:rsid w:val="00C11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9BD1E-B331-44EB-BFA1-26F99788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B</vt:lpstr>
    </vt:vector>
  </TitlesOfParts>
  <Company/>
  <LinksUpToDate>false</LinksUpToDate>
  <CharactersWithSpaces>5314</CharactersWithSpaces>
  <SharedDoc>false</SharedDoc>
  <HLinks>
    <vt:vector size="36" baseType="variant">
      <vt:variant>
        <vt:i4>196718</vt:i4>
      </vt:variant>
      <vt:variant>
        <vt:i4>15</vt:i4>
      </vt:variant>
      <vt:variant>
        <vt:i4>0</vt:i4>
      </vt:variant>
      <vt:variant>
        <vt:i4>5</vt:i4>
      </vt:variant>
      <vt:variant>
        <vt:lpwstr>mailto:rcorrada@law.du.edu</vt:lpwstr>
      </vt:variant>
      <vt:variant>
        <vt:lpwstr/>
      </vt:variant>
      <vt:variant>
        <vt:i4>196718</vt:i4>
      </vt:variant>
      <vt:variant>
        <vt:i4>12</vt:i4>
      </vt:variant>
      <vt:variant>
        <vt:i4>0</vt:i4>
      </vt:variant>
      <vt:variant>
        <vt:i4>5</vt:i4>
      </vt:variant>
      <vt:variant>
        <vt:lpwstr>mailto:rcorrada@law.du.edu</vt:lpwstr>
      </vt:variant>
      <vt:variant>
        <vt:lpwstr/>
      </vt:variant>
      <vt:variant>
        <vt:i4>196718</vt:i4>
      </vt:variant>
      <vt:variant>
        <vt:i4>9</vt:i4>
      </vt:variant>
      <vt:variant>
        <vt:i4>0</vt:i4>
      </vt:variant>
      <vt:variant>
        <vt:i4>5</vt:i4>
      </vt:variant>
      <vt:variant>
        <vt:lpwstr>mailto:rcorrada@law.du.edu</vt:lpwstr>
      </vt:variant>
      <vt:variant>
        <vt:lpwstr/>
      </vt:variant>
      <vt:variant>
        <vt:i4>6553625</vt:i4>
      </vt:variant>
      <vt:variant>
        <vt:i4>6</vt:i4>
      </vt:variant>
      <vt:variant>
        <vt:i4>0</vt:i4>
      </vt:variant>
      <vt:variant>
        <vt:i4>5</vt:i4>
      </vt:variant>
      <vt:variant>
        <vt:lpwstr>mailto:mbarnes@law.uci.edu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mailto:william.eskridge@yale.edu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mailto:echemerinsky@law.uci.edu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B</dc:title>
  <dc:subject/>
  <dc:creator>Susannah Pollvogt</dc:creator>
  <cp:keywords/>
  <dc:description/>
  <cp:lastModifiedBy>Susannah W. Pollvogt</cp:lastModifiedBy>
  <cp:revision>4</cp:revision>
  <cp:lastPrinted>2014-02-15T17:14:00Z</cp:lastPrinted>
  <dcterms:created xsi:type="dcterms:W3CDTF">2021-02-20T20:09:00Z</dcterms:created>
  <dcterms:modified xsi:type="dcterms:W3CDTF">2021-02-20T20:10:00Z</dcterms:modified>
</cp:coreProperties>
</file>